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single" w:color="auto" w:sz="4"/>
          <w:insideV w:val="single" w:color="auto" w:sz="4"/>
        </w:tblBorders>
        <w:tblLayout w:type="fixed"/>
      </w:tblPr>
      <w:tblGrid>
        <w:gridCol w:w="100"/>
      </w:tblGrid>
      <w:tr>
        <w:trPr>
          <w:trHeight w:val="16838" w:hRule="exact"/>
        </w:trPr>
        <w:tc>
          <w:tcPr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FFFFFF" w:val="clear"/>
          </w:tcPr>
          <w:p>
            <w:pPr>
              <w:pBdr>
                <w:bottom w:val="single" w:color="4C6EF5" w:sz="18" w:space="20"/>
              </w:pBdr>
              <w:spacing w:after="0"/>
            </w:pPr>
            <w:r>
              <w:rPr>
                <w:sz w:val="2"/>
                <w:szCs w:val="2"/>
              </w:rPr>
              <w:t xml:space="preserve"/>
            </w:r>
          </w:p>
          <w:p>
            <w:pPr>
              <w:spacing w:before="2400"/>
            </w:pPr>
          </w:p>
          <w:p>
            <w:pPr>
              <w:spacing w:after="400"/>
              <w:jc w:val="center"/>
            </w:pPr>
            <w:r>
              <w:rPr>
                <w:rFonts w:ascii="Calibri" w:eastAsia="Microsoft YaHei"/>
                <w:color w:val="4C6EF5"/>
                <w:spacing w:val="60"/>
                <w:sz w:val="20"/>
                <w:szCs w:val="20"/>
              </w:rPr>
              <w:t xml:space="preserve">SOLUTION DOCUMENT</w:t>
            </w:r>
          </w:p>
          <w:p>
            <w:pPr>
              <w:spacing w:after="200" w:line="480" w:lineRule="atLeast"/>
              <w:jc w:val="center"/>
            </w:pPr>
            <w:r>
              <w:rPr>
                <w:rFonts w:ascii="Calibri" w:eastAsia="Microsoft YaHei"/>
                <w:b/>
                <w:bCs/>
                <w:color w:val="1A1F36"/>
                <w:sz w:val="80"/>
                <w:szCs w:val="80"/>
              </w:rPr>
              <w:t xml:space="preserve">kgagent</w:t>
            </w:r>
          </w:p>
          <w:p>
            <w:pPr>
              <w:spacing w:after="200" w:line="480" w:lineRule="atLeast"/>
              <w:jc w:val="center"/>
            </w:pPr>
            <w:r>
              <w:rPr>
                <w:rFonts w:ascii="Calibri" w:eastAsia="Microsoft YaHei"/>
                <w:b/>
                <w:bCs/>
                <w:color w:val="1A1F36"/>
                <w:sz w:val="80"/>
                <w:szCs w:val="80"/>
              </w:rPr>
              <w:t xml:space="preserve">解决方案文档</w:t>
            </w:r>
          </w:p>
          <w:p>
            <w:pPr>
              <w:spacing w:after="200" w:before="400"/>
              <w:jc w:val="center"/>
            </w:pPr>
            <w:r>
              <w:rPr>
                <w:rFonts w:ascii="Calibri" w:eastAsia="Microsoft YaHei"/>
                <w:color w:val="5A6080"/>
                <w:sz w:val="28"/>
                <w:szCs w:val="28"/>
              </w:rPr>
              <w:t xml:space="preserve">A Temporal Knowledge Graph Agent — Solution Design</w:t>
            </w:r>
          </w:p>
          <w:p>
            <w:pPr>
              <w:spacing w:before="3600"/>
            </w:pPr>
          </w:p>
          <w:p>
            <w:pPr>
              <w:spacing w:after="120"/>
              <w:jc w:val="center"/>
            </w:pPr>
            <w:r>
              <w:rPr>
                <w:rFonts w:ascii="Calibri" w:eastAsia="Microsoft YaHei"/>
                <w:color w:val="5A6080"/>
                <w:sz w:val="22"/>
                <w:szCs w:val="22"/>
              </w:rPr>
              <w:t xml:space="preserve">版本：v0.1.0</w:t>
            </w:r>
          </w:p>
          <w:p>
            <w:pPr>
              <w:spacing w:after="120"/>
              <w:jc w:val="center"/>
            </w:pPr>
            <w:r>
              <w:rPr>
                <w:rFonts w:ascii="Calibri" w:eastAsia="Microsoft YaHei"/>
                <w:color w:val="5A6080"/>
                <w:sz w:val="22"/>
                <w:szCs w:val="22"/>
              </w:rPr>
              <w:t xml:space="preserve">日期：2026-07-31</w:t>
            </w:r>
          </w:p>
          <w:p>
            <w:pPr>
              <w:spacing w:after="120"/>
              <w:jc w:val="center"/>
            </w:pPr>
            <w:r>
              <w:rPr>
                <w:rFonts w:ascii="Calibri" w:eastAsia="Microsoft YaHei"/>
                <w:color w:val="5A6080"/>
                <w:sz w:val="22"/>
                <w:szCs w:val="22"/>
              </w:rPr>
              <w:t xml:space="preserve">状态：已验证</w:t>
            </w:r>
          </w:p>
          <w:p>
            <w:pPr>
              <w:spacing w:before="2400"/>
            </w:pPr>
          </w:p>
          <w:p>
            <w:pPr>
              <w:pBdr>
                <w:top w:val="single" w:color="4C6EF5" w:sz="18" w:space="20"/>
              </w:pBdr>
              <w:spacing w:before="200"/>
              <w:jc w:val="center"/>
            </w:pPr>
            <w:r>
              <w:rPr>
                <w:rFonts w:ascii="Calibri" w:eastAsia="Microsoft YaHei"/>
                <w:color w:val="5A6080"/>
                <w:sz w:val="18"/>
                <w:szCs w:val="18"/>
              </w:rPr>
              <w:t xml:space="preserve">kgagent Solution Document</w:t>
            </w:r>
          </w:p>
        </w:tc>
      </w:tr>
    </w:tbl>
    <w:p>
      <w:pPr>
        <w:sectPr>
          <w:pgSz w:w="11906" w:h="16838" w:orient="portrait"/>
          <w:pgMar w:top="0" w:right="0" w:bottom="0" w:left="0" w:header="708" w:footer="708" w:gutter="0"/>
          <w:pgNumType/>
          <w:docGrid w:linePitch="360"/>
        </w:sectPr>
      </w:pPr>
    </w:p>
    <w:p>
      <w:pPr>
        <w:pStyle w:val="Heading1"/>
        <w:spacing w:after="240" w:before="480" w:line="360"/>
      </w:pPr>
      <w:r>
        <w:rPr>
          <w:rFonts w:ascii="Calibri" w:eastAsia="Microsoft YaHei"/>
          <w:b/>
          <w:bCs/>
          <w:color w:val="1A1F36"/>
          <w:sz w:val="36"/>
          <w:szCs w:val="36"/>
        </w:rPr>
        <w:t xml:space="preserve">第一章  项目背景与目标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1.1 知识图谱在 AI Agent 时代的价值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随着大语言模型（LLM）驱动的智能体（Agent）在客服、研发助手、企业搜索等场景广泛落地，单纯依赖向量检索的 RAG（Retrieval-Augmented Generation）方案暴露出明显短板：无法表达实体间的复杂关系、无法回答时序问题、无法在数据更新时自动维护一致性。知识图谱以其结构化的实体-关系表达，成为弥补 RAG 不足的关键基础设施。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Graphiti 是 Zep 公司开源的时序知识图谱框架，专为 AI Agent 设计。它在传统知识图谱基础上引入双时间索引（bi-temporal），每条事实都记录"何时变为真"和"何时失效"，使 Agent 既能回答"现在的事实"，也能回答"历史某时刻的事实"。这一特性在 CRM 客户关系演变、人事变动追踪、产品迭代记录等场景中价值显著。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1.2 现有方案的局限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Graphiti 虽然设计精良，但在实际落地中仍存在若干痛点：第一，强依赖 Neo4j 服务器，对个人开发者和中小团队不友好；第二，对本地推理生态（Ollama、vLLM）的支持虽有但文档分散，配置门槛较高；第三，作为框架其代码量庞大，定制和二次开发成本高。本项目旨在翻造一个轻量、纯 Python、本地优先、对 Ollama/vLLM 一等支持的等价实现。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1.3 项目目标</w:t>
      </w:r>
    </w:p>
    <w:p>
      <w:pPr>
        <w:spacing w:after="40" w:before="40" w:line="320"/>
        <w:ind w:left="720" w:hanging="360"/>
      </w:pPr>
      <w:r>
        <w:rPr>
          <w:rFonts w:ascii="Calibri" w:eastAsia="Microsoft YaHei"/>
          <w:color w:val="4C6EF5"/>
          <w:sz w:val="22"/>
          <w:szCs w:val="22"/>
        </w:rPr>
        <w:t xml:space="preserve">•  </w:t>
      </w:r>
      <w:r>
        <w:rPr>
          <w:rFonts w:ascii="Calibri" w:eastAsia="Microsoft YaHei"/>
          <w:color w:val="1F2937"/>
          <w:sz w:val="22"/>
          <w:szCs w:val="22"/>
        </w:rPr>
        <w:t xml:space="preserve">深度复刻 Graphiti 的核心架构：双时间索引、Episode 摄取管线、语义层本体、混合检索、增量更新引擎。</w:t>
      </w:r>
    </w:p>
    <w:p>
      <w:pPr>
        <w:spacing w:after="40" w:before="40" w:line="320"/>
        <w:ind w:left="720" w:hanging="360"/>
      </w:pPr>
      <w:r>
        <w:rPr>
          <w:rFonts w:ascii="Calibri" w:eastAsia="Microsoft YaHei"/>
          <w:color w:val="4C6EF5"/>
          <w:sz w:val="22"/>
          <w:szCs w:val="22"/>
        </w:rPr>
        <w:t xml:space="preserve">•  </w:t>
      </w:r>
      <w:r>
        <w:rPr>
          <w:rFonts w:ascii="Calibri" w:eastAsia="Microsoft YaHei"/>
          <w:color w:val="1F2937"/>
          <w:sz w:val="22"/>
          <w:szCs w:val="22"/>
        </w:rPr>
        <w:t xml:space="preserve">全 Python 实现，提供 Typer CLI，无需前端，适合脚本化集成和自动化流水线。</w:t>
      </w:r>
    </w:p>
    <w:p>
      <w:pPr>
        <w:spacing w:after="40" w:before="40" w:line="320"/>
        <w:ind w:left="720" w:hanging="360"/>
      </w:pPr>
      <w:r>
        <w:rPr>
          <w:rFonts w:ascii="Calibri" w:eastAsia="Microsoft YaHei"/>
          <w:color w:val="4C6EF5"/>
          <w:sz w:val="22"/>
          <w:szCs w:val="22"/>
        </w:rPr>
        <w:t xml:space="preserve">•  </w:t>
      </w:r>
      <w:r>
        <w:rPr>
          <w:rFonts w:ascii="Calibri" w:eastAsia="Microsoft YaHei"/>
          <w:color w:val="1F2937"/>
          <w:sz w:val="22"/>
          <w:szCs w:val="22"/>
        </w:rPr>
        <w:t xml:space="preserve">一等支持 Ollama 和 vLLM：通过 OpenAI 兼容 API，仅需环境变量即可切换 LLM 后端。</w:t>
      </w:r>
    </w:p>
    <w:p>
      <w:pPr>
        <w:spacing w:after="40" w:before="40" w:line="320"/>
        <w:ind w:left="720" w:hanging="360"/>
      </w:pPr>
      <w:r>
        <w:rPr>
          <w:rFonts w:ascii="Calibri" w:eastAsia="Microsoft YaHei"/>
          <w:color w:val="4C6EF5"/>
          <w:sz w:val="22"/>
          <w:szCs w:val="22"/>
        </w:rPr>
        <w:t xml:space="preserve">•  </w:t>
      </w:r>
      <w:r>
        <w:rPr>
          <w:rFonts w:ascii="Calibri" w:eastAsia="Microsoft YaHei"/>
          <w:color w:val="1F2937"/>
          <w:sz w:val="22"/>
          <w:szCs w:val="22"/>
        </w:rPr>
        <w:t xml:space="preserve">零服务器依赖默认配置：内存图后端 + sentence-transformers 本地嵌入，开箱即用。</w:t>
      </w:r>
    </w:p>
    <w:p>
      <w:pPr>
        <w:spacing w:after="40" w:before="40" w:line="320"/>
        <w:ind w:left="720" w:hanging="360"/>
      </w:pPr>
      <w:r>
        <w:rPr>
          <w:rFonts w:ascii="Calibri" w:eastAsia="Microsoft YaHei"/>
          <w:color w:val="4C6EF5"/>
          <w:sz w:val="22"/>
          <w:szCs w:val="22"/>
        </w:rPr>
        <w:t xml:space="preserve">•  </w:t>
      </w:r>
      <w:r>
        <w:rPr>
          <w:rFonts w:ascii="Calibri" w:eastAsia="Microsoft YaHei"/>
          <w:color w:val="1F2937"/>
          <w:sz w:val="22"/>
          <w:szCs w:val="22"/>
        </w:rPr>
        <w:t xml:space="preserve">可插拔后端：内存（NetworkX）、嵌入式（Kùzu）、生产级（Neo4j）三档可选。</w:t>
      </w:r>
    </w:p>
    <w:p>
      <w:pPr>
        <w:pStyle w:val="Heading1"/>
        <w:spacing w:after="240" w:before="480" w:line="360"/>
      </w:pPr>
      <w:r>
        <w:rPr>
          <w:rFonts w:ascii="Calibri" w:eastAsia="Microsoft YaHei"/>
          <w:b/>
          <w:bCs/>
          <w:color w:val="1A1F36"/>
          <w:sz w:val="36"/>
          <w:szCs w:val="36"/>
        </w:rPr>
        <w:t xml:space="preserve">第二章  需求分析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2.1 功能需求</w:t>
      </w:r>
    </w:p>
    <w:p>
      <w:pPr>
        <w:pStyle w:val="Heading3"/>
        <w:spacing w:after="140" w:before="280" w:line="320"/>
      </w:pPr>
      <w:r>
        <w:rPr>
          <w:rFonts w:ascii="Calibri" w:eastAsia="Microsoft YaHei"/>
          <w:b/>
          <w:bCs/>
          <w:color w:val="4C6EF5"/>
          <w:sz w:val="26"/>
          <w:szCs w:val="26"/>
        </w:rPr>
        <w:t xml:space="preserve">2.1.1 数据摄取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系统需支持三种 Episode 类型的摄取：文本（text，非结构化段落）、消息（message，对话轮次，含 speaker/role）、JSON（json，结构化记录如 CRM 行）。摄取过程需自动分块、LLM 抽取实体与关系、嵌入向量、去重、矛盾检测、持久化。</w:t>
      </w:r>
    </w:p>
    <w:p>
      <w:pPr>
        <w:pStyle w:val="Heading3"/>
        <w:spacing w:after="140" w:before="280" w:line="320"/>
      </w:pPr>
      <w:r>
        <w:rPr>
          <w:rFonts w:ascii="Calibri" w:eastAsia="Microsoft YaHei"/>
          <w:b/>
          <w:bCs/>
          <w:color w:val="4C6EF5"/>
          <w:sz w:val="26"/>
          <w:szCs w:val="26"/>
        </w:rPr>
        <w:t xml:space="preserve">2.1.2 语义层构建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用户可通过 Pydantic 模型自定义实体类型（如 Person、Company、Product）和边类型（如 Employment、Investment），系统据此约束 LLM 的抽取输出，保证图谱的类型一致性。这是 Graphiti 区别于普通 GraphRAG 的核心特性。</w:t>
      </w:r>
    </w:p>
    <w:p>
      <w:pPr>
        <w:pStyle w:val="Heading3"/>
        <w:spacing w:after="140" w:before="280" w:line="320"/>
      </w:pPr>
      <w:r>
        <w:rPr>
          <w:rFonts w:ascii="Calibri" w:eastAsia="Microsoft YaHei"/>
          <w:b/>
          <w:bCs/>
          <w:color w:val="4C6EF5"/>
          <w:sz w:val="26"/>
          <w:szCs w:val="26"/>
        </w:rPr>
        <w:t xml:space="preserve">2.1.3 实时增量更新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当新 Episode 摄取的事实与已有事实矛盾时（如"Alice 是 CTO"后接"Alice 是 President"），系统需自动检测矛盾、将旧事实软删除（设置 expired_at）、保留完整历史。这是时序知识图谱的灵魂特性。</w:t>
      </w:r>
    </w:p>
    <w:p>
      <w:pPr>
        <w:pStyle w:val="Heading3"/>
        <w:spacing w:after="140" w:before="280" w:line="320"/>
      </w:pPr>
      <w:r>
        <w:rPr>
          <w:rFonts w:ascii="Calibri" w:eastAsia="Microsoft YaHei"/>
          <w:b/>
          <w:bCs/>
          <w:color w:val="4C6EF5"/>
          <w:sz w:val="26"/>
          <w:szCs w:val="26"/>
        </w:rPr>
        <w:t xml:space="preserve">2.1.4 混合检索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系统需提供向量语义检索、BM25 全文检索、图遍历三种检索通道，并通过 RRF（Reciprocal Rank Fusion）、MMR（Maximal Marginal Relevance）、NodeDistance、EpisodeMentions 四种重排序策略融合结果。</w:t>
      </w:r>
    </w:p>
    <w:p>
      <w:pPr>
        <w:pStyle w:val="Heading3"/>
        <w:spacing w:after="140" w:before="280" w:line="320"/>
      </w:pPr>
      <w:r>
        <w:rPr>
          <w:rFonts w:ascii="Calibri" w:eastAsia="Microsoft YaHei"/>
          <w:b/>
          <w:bCs/>
          <w:color w:val="4C6EF5"/>
          <w:sz w:val="26"/>
          <w:szCs w:val="26"/>
        </w:rPr>
        <w:t xml:space="preserve">2.1.5 Agent 推理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系统需提供 ReAct 风格的 Agent，暴露 search_graph、get_node、get_neighbors、get_episodes、time_travel 五个工具，LLM 在循环中自主选择工具直到能回答用户问题。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2.2 非功能需求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  <w:gridCol w:w="100"/>
      </w:tblGrid>
      <w:tr>
        <w:trPr>
          <w:cantSplit/>
          <w:tblHeader/>
        </w:trPr>
        <w:tc>
          <w:tcPr>
            <w:shd w:fill="4C6EF5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Calibri" w:eastAsia="Microsoft YaHei"/>
                <w:b/>
                <w:bCs/>
                <w:color w:val="FFFFFF"/>
                <w:sz w:val="20"/>
                <w:szCs w:val="20"/>
              </w:rPr>
              <w:t xml:space="preserve">维度</w:t>
            </w:r>
          </w:p>
        </w:tc>
        <w:tc>
          <w:tcPr>
            <w:shd w:fill="4C6EF5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Calibri" w:eastAsia="Microsoft YaHei"/>
                <w:b/>
                <w:bCs/>
                <w:color w:val="FFFFFF"/>
                <w:sz w:val="20"/>
                <w:szCs w:val="20"/>
              </w:rPr>
              <w:t xml:space="preserve">要求</w:t>
            </w:r>
          </w:p>
        </w:tc>
        <w:tc>
          <w:tcPr>
            <w:shd w:fill="4C6EF5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Calibri" w:eastAsia="Microsoft YaHei"/>
                <w:b/>
                <w:bCs/>
                <w:color w:val="FFFFFF"/>
                <w:sz w:val="20"/>
                <w:szCs w:val="20"/>
              </w:rPr>
              <w:t xml:space="preserve">设计决策</w:t>
            </w:r>
          </w:p>
        </w:tc>
      </w:tr>
      <w:tr>
        <w:trPr>
          <w:cantSplit/>
        </w:trPr>
        <w:tc>
          <w:tcPr>
            <w:shd w:fill="F8F9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可移植性</w:t>
            </w:r>
          </w:p>
        </w:tc>
        <w:tc>
          <w:tcPr>
            <w:shd w:fill="F8F9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纯 Python，跨平台</w:t>
            </w:r>
          </w:p>
        </w:tc>
        <w:tc>
          <w:tcPr>
            <w:shd w:fill="F8F9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Python 3.10+，无 C 扩展依赖</w:t>
            </w:r>
          </w:p>
        </w:tc>
      </w:tr>
      <w:tr>
        <w:trPr>
          <w:cantSplit/>
        </w:trPr>
        <w:tc>
          <w:tcPr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本地优先</w:t>
            </w:r>
          </w:p>
        </w:tc>
        <w:tc>
          <w:tcPr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支持完全离线运行</w:t>
            </w:r>
          </w:p>
        </w:tc>
        <w:tc>
          <w:tcPr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内存图 + sentence-transformers 默认</w:t>
            </w:r>
          </w:p>
        </w:tc>
      </w:tr>
      <w:tr>
        <w:trPr>
          <w:cantSplit/>
        </w:trPr>
        <w:tc>
          <w:tcPr>
            <w:shd w:fill="F8F9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可扩展性</w:t>
            </w:r>
          </w:p>
        </w:tc>
        <w:tc>
          <w:tcPr>
            <w:shd w:fill="F8F9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LLM/Embedder/Graph 三层可插拔</w:t>
            </w:r>
          </w:p>
        </w:tc>
        <w:tc>
          <w:tcPr>
            <w:shd w:fill="F8F9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工厂模式 + 抽象基类</w:t>
            </w:r>
          </w:p>
        </w:tc>
      </w:tr>
      <w:tr>
        <w:trPr>
          <w:cantSplit/>
        </w:trPr>
        <w:tc>
          <w:tcPr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异步性能</w:t>
            </w:r>
          </w:p>
        </w:tc>
        <w:tc>
          <w:tcPr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不阻塞事件循环</w:t>
            </w:r>
          </w:p>
        </w:tc>
        <w:tc>
          <w:tcPr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全链路 asyncio + 信号量限流</w:t>
            </w:r>
          </w:p>
        </w:tc>
      </w:tr>
      <w:tr>
        <w:trPr>
          <w:cantSplit/>
        </w:trPr>
        <w:tc>
          <w:tcPr>
            <w:shd w:fill="F8F9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配置灵活</w:t>
            </w:r>
          </w:p>
        </w:tc>
        <w:tc>
          <w:tcPr>
            <w:shd w:fill="F8F9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环境变量驱动，零代码切换后端</w:t>
            </w:r>
          </w:p>
        </w:tc>
        <w:tc>
          <w:tcPr>
            <w:shd w:fill="F8F9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pydantic-settings + .env</w:t>
            </w:r>
          </w:p>
        </w:tc>
      </w:tr>
      <w:tr>
        <w:trPr>
          <w:cantSplit/>
        </w:trPr>
        <w:tc>
          <w:tcPr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可观测性</w:t>
            </w:r>
          </w:p>
        </w:tc>
        <w:tc>
          <w:tcPr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CLI 健康检查、计数、配置导出</w:t>
            </w:r>
          </w:p>
        </w:tc>
        <w:tc>
          <w:tcPr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health/count/config 子命令</w:t>
            </w:r>
          </w:p>
        </w:tc>
      </w:tr>
    </w:tbl>
    <w:p>
      <w:pPr>
        <w:pStyle w:val="Heading1"/>
        <w:spacing w:after="240" w:before="480" w:line="360"/>
      </w:pPr>
      <w:r>
        <w:rPr>
          <w:rFonts w:ascii="Calibri" w:eastAsia="Microsoft YaHei"/>
          <w:b/>
          <w:bCs/>
          <w:color w:val="1A1F36"/>
          <w:sz w:val="36"/>
          <w:szCs w:val="36"/>
        </w:rPr>
        <w:t xml:space="preserve">第三章  技术选型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3.1 整体技术栈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  <w:gridCol w:w="100"/>
      </w:tblGrid>
      <w:tr>
        <w:trPr>
          <w:cantSplit/>
          <w:tblHeader/>
        </w:trPr>
        <w:tc>
          <w:tcPr>
            <w:shd w:fill="4C6EF5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Calibri" w:eastAsia="Microsoft YaHei"/>
                <w:b/>
                <w:bCs/>
                <w:color w:val="FFFFFF"/>
                <w:sz w:val="20"/>
                <w:szCs w:val="20"/>
              </w:rPr>
              <w:t xml:space="preserve">层次</w:t>
            </w:r>
          </w:p>
        </w:tc>
        <w:tc>
          <w:tcPr>
            <w:shd w:fill="4C6EF5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Calibri" w:eastAsia="Microsoft YaHei"/>
                <w:b/>
                <w:bCs/>
                <w:color w:val="FFFFFF"/>
                <w:sz w:val="20"/>
                <w:szCs w:val="20"/>
              </w:rPr>
              <w:t xml:space="preserve">技术</w:t>
            </w:r>
          </w:p>
        </w:tc>
        <w:tc>
          <w:tcPr>
            <w:shd w:fill="4C6EF5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rFonts w:ascii="Calibri" w:eastAsia="Microsoft YaHei"/>
                <w:b/>
                <w:bCs/>
                <w:color w:val="FFFFFF"/>
                <w:sz w:val="20"/>
                <w:szCs w:val="20"/>
              </w:rPr>
              <w:t xml:space="preserve">选型理由</w:t>
            </w:r>
          </w:p>
        </w:tc>
      </w:tr>
      <w:tr>
        <w:trPr>
          <w:cantSplit/>
        </w:trPr>
        <w:tc>
          <w:tcPr>
            <w:shd w:fill="F8F9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语言</w:t>
            </w:r>
          </w:p>
        </w:tc>
        <w:tc>
          <w:tcPr>
            <w:shd w:fill="F8F9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Python 3.10+</w:t>
            </w:r>
          </w:p>
        </w:tc>
        <w:tc>
          <w:tcPr>
            <w:shd w:fill="F8F9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AI 生态最完整，asyncio 成熟</w:t>
            </w:r>
          </w:p>
        </w:tc>
      </w:tr>
      <w:tr>
        <w:trPr>
          <w:cantSplit/>
        </w:trPr>
        <w:tc>
          <w:tcPr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数据建模</w:t>
            </w:r>
          </w:p>
        </w:tc>
        <w:tc>
          <w:tcPr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Pydantic v2</w:t>
            </w:r>
          </w:p>
        </w:tc>
        <w:tc>
          <w:tcPr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类型安全、JSON Schema 自动生成、验证内置</w:t>
            </w:r>
          </w:p>
        </w:tc>
      </w:tr>
      <w:tr>
        <w:trPr>
          <w:cantSplit/>
        </w:trPr>
        <w:tc>
          <w:tcPr>
            <w:shd w:fill="F8F9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配置管理</w:t>
            </w:r>
          </w:p>
        </w:tc>
        <w:tc>
          <w:tcPr>
            <w:shd w:fill="F8F9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pydantic-settings</w:t>
            </w:r>
          </w:p>
        </w:tc>
        <w:tc>
          <w:tcPr>
            <w:shd w:fill="F8F9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环境变量驱动，12-factor 哲学</w:t>
            </w:r>
          </w:p>
        </w:tc>
      </w:tr>
      <w:tr>
        <w:trPr>
          <w:cantSplit/>
        </w:trPr>
        <w:tc>
          <w:tcPr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CLI 框架</w:t>
            </w:r>
          </w:p>
        </w:tc>
        <w:tc>
          <w:tcPr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Typer + Rich</w:t>
            </w:r>
          </w:p>
        </w:tc>
        <w:tc>
          <w:tcPr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类型提示驱动、富文本终端输出</w:t>
            </w:r>
          </w:p>
        </w:tc>
      </w:tr>
      <w:tr>
        <w:trPr>
          <w:cantSplit/>
        </w:trPr>
        <w:tc>
          <w:tcPr>
            <w:shd w:fill="F8F9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LLM 客户端</w:t>
            </w:r>
          </w:p>
        </w:tc>
        <w:tc>
          <w:tcPr>
            <w:shd w:fill="F8F9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openai SDK</w:t>
            </w:r>
          </w:p>
        </w:tc>
        <w:tc>
          <w:tcPr>
            <w:shd w:fill="F8F9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OpenAI 兼容协议覆盖最广（含 vLLM/Ollama）</w:t>
            </w:r>
          </w:p>
        </w:tc>
      </w:tr>
      <w:tr>
        <w:trPr>
          <w:cantSplit/>
        </w:trPr>
        <w:tc>
          <w:tcPr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嵌入模型</w:t>
            </w:r>
          </w:p>
        </w:tc>
        <w:tc>
          <w:tcPr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sentence-transformers</w:t>
            </w:r>
          </w:p>
        </w:tc>
        <w:tc>
          <w:tcPr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本地免费、BGE 系列质量高</w:t>
            </w:r>
          </w:p>
        </w:tc>
      </w:tr>
      <w:tr>
        <w:trPr>
          <w:cantSplit/>
        </w:trPr>
        <w:tc>
          <w:tcPr>
            <w:shd w:fill="F8F9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图存储</w:t>
            </w:r>
          </w:p>
        </w:tc>
        <w:tc>
          <w:tcPr>
            <w:shd w:fill="F8F9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NetworkX / Kùzu / Neo4j</w:t>
            </w:r>
          </w:p>
        </w:tc>
        <w:tc>
          <w:tcPr>
            <w:shd w:fill="F8F9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三档可选，从测试到生产</w:t>
            </w:r>
          </w:p>
        </w:tc>
      </w:tr>
      <w:tr>
        <w:trPr>
          <w:cantSplit/>
        </w:trPr>
        <w:tc>
          <w:tcPr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全文检索</w:t>
            </w:r>
          </w:p>
        </w:tc>
        <w:tc>
          <w:tcPr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rank-bm25</w:t>
            </w:r>
          </w:p>
        </w:tc>
        <w:tc>
          <w:tcPr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纯 Python，无外部依赖</w:t>
            </w:r>
          </w:p>
        </w:tc>
      </w:tr>
      <w:tr>
        <w:trPr>
          <w:cantSplit/>
        </w:trPr>
        <w:tc>
          <w:tcPr>
            <w:shd w:fill="F8F9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重试</w:t>
            </w:r>
          </w:p>
        </w:tc>
        <w:tc>
          <w:tcPr>
            <w:shd w:fill="F8F9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tenacity</w:t>
            </w:r>
          </w:p>
        </w:tc>
        <w:tc>
          <w:tcPr>
            <w:shd w:fill="F8F9FF" w:val="clear"/>
            <w:tcMar>
              <w:top w:type="dxa" w:w="60"/>
              <w:left w:type="dxa" w:w="120"/>
              <w:bottom w:type="dxa" w:w="60"/>
              <w:right w:type="dxa" w:w="120"/>
            </w:tcMar>
            <w:vAlign w:val="center"/>
          </w:tcPr>
          <w:p>
            <w:pPr>
              <w:spacing w:line="300"/>
            </w:pPr>
            <w:r>
              <w:rPr>
                <w:rFonts w:ascii="Calibri" w:eastAsia="Microsoft YaHei"/>
                <w:color w:val="1F2937"/>
                <w:sz w:val="20"/>
                <w:szCs w:val="20"/>
              </w:rPr>
              <w:t xml:space="preserve">指数退避，应对 LLM 限流</w:t>
            </w:r>
          </w:p>
        </w:tc>
      </w:tr>
    </w:tbl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3.2 为什么选择 OpenAI 兼容协议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OpenAI 的 Chat Completions API 已成为事实标准。vLLM、Ollama、Together、Groq、Anyscale、Fireworks 等主流推理服务均提供 OpenAI 兼容端点。这意味着只需一个 openai SDK 客户端，通过切换 base_url 和 api_key，即可接入数十种 LLM 后端，极大降低了集成成本。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对于结构化输出，我们采用三级降级策略：优先尝试 json_schema 模式（vLLM 的 guided-decoding 和 OpenAI 的 strict mode 支持），失败则降级到 json_object 模式（更广泛兼容），再失败则降级到纯文本 + 围栏 JSON 解析。这保证了从最强的 schema 约束到最弱的兼容模式都能工作。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3.3 为什么选择 MultiDiGraph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传统有向图（DiGraph）用 (source, target) 元组作为边的唯一标识，同一节点对之间只能存在一条边。这在时序知识图谱中是致命缺陷：当"Alice 是 CTO"边被失效后，新边"Alice 是 President"用相同节点对保存时会覆盖旧边，导致历史丢失。NetworkX 的 MultiDiGraph 允许平行边，用 key 参数区分，完美解决了这一问题——失效边与活跃边可以共存。</w:t>
      </w:r>
    </w:p>
    <w:p>
      <w:pPr>
        <w:pStyle w:val="Heading1"/>
        <w:spacing w:after="240" w:before="480" w:line="360"/>
      </w:pPr>
      <w:r>
        <w:rPr>
          <w:rFonts w:ascii="Calibri" w:eastAsia="Microsoft YaHei"/>
          <w:b/>
          <w:bCs/>
          <w:color w:val="1A1F36"/>
          <w:sz w:val="36"/>
          <w:szCs w:val="36"/>
        </w:rPr>
        <w:t xml:space="preserve">第四章  整体解决方案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4.1 系统架构总览</w:t>
      </w:r>
    </w:p>
    <w:p>
      <w:pPr>
        <w:spacing w:after="100" w:before="200"/>
        <w:jc w:val="center"/>
      </w:pPr>
      <w:r>
        <w:drawing>
          <wp:inline distT="0" distB="0" distL="0" distR="0">
            <wp:extent cx="5524500" cy="5010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501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rFonts w:ascii="Calibri" w:eastAsia="Microsoft YaHei"/>
          <w:i/>
          <w:iCs/>
          <w:color w:val="5A6080"/>
          <w:sz w:val="18"/>
          <w:szCs w:val="18"/>
        </w:rPr>
        <w:t xml:space="preserve">图 4-1  kgagent 分层架构图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系统采用五层架构，自顶向下依次为：CLI 交互层、Agent 编排层、核心管线层（摄取+检索+更新）、基础设施层（LLM+Embedder）、图存储层。每一层都通过抽象基类定义接口，具体实现可插拔替换。这种设计使得用户可以在不修改业务代码的前提下，从内存测试环境无缝切换到 Neo4j 生产环境。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4.2 核心工作流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系统的两个核心工作流是"摄取"和"检索"。摄取工作流接收原始数据（文本/消息/JSON），经过分块、LLM 抽取、嵌入、去重、矛盾检测后，将实体和边持久化到图数据库，同时建立 Episode 溯源链接。检索工作流接收自然语言查询，并行调度向量检索、BM25 检索、图遍历三个通道，通过 RRF/MMR 融合重排序后返回节点、边、Episode 的组合结果。</w:t>
      </w:r>
    </w:p>
    <w:p>
      <w:pPr>
        <w:pStyle w:val="Heading2"/>
        <w:spacing w:after="180" w:before="360" w:line="340"/>
      </w:pPr>
      <w:r>
        <w:rPr>
          <w:rFonts w:ascii="Calibri" w:eastAsia="Microsoft YaHei"/>
          <w:b/>
          <w:bCs/>
          <w:color w:val="1A1F36"/>
          <w:sz w:val="30"/>
          <w:szCs w:val="30"/>
        </w:rPr>
        <w:t xml:space="preserve">4.3 关键设计决策</w:t>
      </w:r>
    </w:p>
    <w:p>
      <w:pPr>
        <w:pStyle w:val="Heading3"/>
        <w:spacing w:after="140" w:before="280" w:line="320"/>
      </w:pPr>
      <w:r>
        <w:rPr>
          <w:rFonts w:ascii="Calibri" w:eastAsia="Microsoft YaHei"/>
          <w:b/>
          <w:bCs/>
          <w:color w:val="4C6EF5"/>
          <w:sz w:val="26"/>
          <w:szCs w:val="26"/>
        </w:rPr>
        <w:t xml:space="preserve">4.3.1 双时间索引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每条 EntityEdge 携带 valid_at（事实变为真的时间）和 expired_at（失效时间，None 表示仍活跃）。这使得系统能回答两类问题：当前状态查询（"现在谁是 CTO"）和历史状态查询（"2024 年 3 月谁是 CTO"）。增量更新时，矛盾检测发现旧事实不再成立，仅设置 expired_at 而不物理删除，完整保留历史。</w:t>
      </w:r>
    </w:p>
    <w:p>
      <w:pPr>
        <w:pStyle w:val="Heading3"/>
        <w:spacing w:after="140" w:before="280" w:line="320"/>
      </w:pPr>
      <w:r>
        <w:rPr>
          <w:rFonts w:ascii="Calibri" w:eastAsia="Microsoft YaHei"/>
          <w:b/>
          <w:bCs/>
          <w:color w:val="4C6EF5"/>
          <w:sz w:val="26"/>
          <w:szCs w:val="26"/>
        </w:rPr>
        <w:t xml:space="preserve">4.3.2 Episode 溯源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每条边携带 episodes 列表，记录它来源于哪些 Episode。EpisodicNode 保存原始数据全文。这使得图谱中任何事实都可追溯到原始数据，满足审计和可解释性需求。</w:t>
      </w:r>
    </w:p>
    <w:p>
      <w:pPr>
        <w:pStyle w:val="Heading3"/>
        <w:spacing w:after="140" w:before="280" w:line="320"/>
      </w:pPr>
      <w:r>
        <w:rPr>
          <w:rFonts w:ascii="Calibri" w:eastAsia="Microsoft YaHei"/>
          <w:b/>
          <w:bCs/>
          <w:color w:val="4C6EF5"/>
          <w:sz w:val="26"/>
          <w:szCs w:val="26"/>
        </w:rPr>
        <w:t xml:space="preserve">4.3.3 语义层本体</w:t>
      </w:r>
    </w:p>
    <w:p>
      <w:pPr>
        <w:spacing w:after="80" w:before="80" w:line="340"/>
        <w:ind w:firstLine="480"/>
        <w:jc w:val="both"/>
      </w:pPr>
      <w:r>
        <w:rPr>
          <w:rFonts w:ascii="Calibri" w:eastAsia="Microsoft YaHei"/>
          <w:color w:val="1F2937"/>
          <w:sz w:val="22"/>
          <w:szCs w:val="22"/>
        </w:rPr>
        <w:t xml:space="preserve">用户通过 Pydantic 模型定义实体和边的类型系统，系统自动生成 JSON Schema 注入 LLM 提示词，约束抽取输出。这比 GraphRAG 的"无类型实体"更精确，也避免了 LLM 自由发挥导致的类型混乱。</w:t>
      </w:r>
    </w:p>
    <w:sectPr>
      <w:footerReference w:type="default" r:id="rId7"/>
      <w:pgSz w:w="11906" w:h="16838" w:orient="portrait"/>
      <w:pgMar w:top="1440" w:right="1417" w:bottom="1440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eastAsia="Microsoft YaHei"/>
        <w:color w:val="5A6080"/>
        <w:sz w:val="18"/>
        <w:szCs w:val="18"/>
      </w:rPr>
      <w:t xml:space="preserve">kgagent </w:t>
    </w:r>
    <w:r>
      <w:rPr>
        <w:rFonts w:ascii="Calibri" w:eastAsia="Microsoft YaHei"/>
        <w:color w:val="5A6080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Calibri" w:eastAsia="Microsoft YaHei"/>
        <w:color w:val="5A6080"/>
        <w:sz w:val="18"/>
        <w:szCs w:val="18"/>
      </w:rPr>
      <w:t xml:space="preserve"> / </w:t>
    </w:r>
    <w:r>
      <w:rPr>
        <w:rFonts w:ascii="Calibri" w:eastAsia="Microsoft YaHei"/>
        <w:color w:val="5A6080"/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icrosoft YaHei"/>
        <w:color w:val="1F2937"/>
        <w:sz w:val="22"/>
        <w:szCs w:val="22"/>
      </w:rPr>
    </w:rPrDefault>
    <w:pPrDefault>
      <w:pPr>
        <w:spacing w:line="340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ddaffdde60a46438f7b51c968261916aa0c23410.undefined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2026-07-31T06:55:33.229Z</dcterms:created>
  <dcterms:modified xsi:type="dcterms:W3CDTF">2026-07-31T06:55:33.229Z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