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0"/>
      </w:pPr>
      <w:r>
        <w:t xml:space="preserve"/>
      </w:r>
    </w:p>
    <w:p>
      <w:pPr>
        <w:spacing w:after="200" w:before="200"/>
        <w:jc w:val="center"/>
      </w:pPr>
      <w:r>
        <w:rPr>
          <w:rFonts w:ascii="Calibri" w:cs="Calibri" w:eastAsia="Calibri" w:hAnsi="Calibri"/>
          <w:b/>
          <w:bCs/>
          <w:color w:val="2C5F8D"/>
          <w:sz w:val="72"/>
          <w:szCs w:val="72"/>
        </w:rPr>
        <w:t xml:space="preserve">JitRL</w:t>
      </w:r>
    </w:p>
    <w:p>
      <w:pPr>
        <w:spacing w:after="100" w:before="100"/>
        <w:jc w:val="center"/>
      </w:pPr>
      <w:r>
        <w:rPr>
          <w:rFonts w:ascii="微软雅黑" w:cs="微软雅黑" w:eastAsia="微软雅黑" w:hAnsi="微软雅黑"/>
          <w:b/>
          <w:bCs/>
          <w:color w:val="1F3864"/>
          <w:sz w:val="44"/>
          <w:szCs w:val="44"/>
        </w:rPr>
        <w:t xml:space="preserve">智能运动训练处方生成智能体</w:t>
      </w:r>
    </w:p>
    <w:p>
      <w:pPr>
        <w:spacing w:after="600" w:before="200"/>
        <w:jc w:val="center"/>
      </w:pPr>
      <w:r>
        <w:rPr>
          <w:rFonts w:ascii="微软雅黑" w:cs="微软雅黑" w:eastAsia="微软雅黑" w:hAnsi="微软雅黑"/>
          <w:color w:val="5B9BD5"/>
          <w:sz w:val="28"/>
          <w:szCs w:val="28"/>
        </w:rPr>
        <w:t xml:space="preserve">无梯度更新的 LLM Agent 持续强化学习</w:t>
      </w:r>
    </w:p>
    <w:p>
      <w:pPr>
        <w:pBdr>
          <w:bottom w:val="single" w:color="E89500" w:sz="12" w:space="1"/>
        </w:pBdr>
        <w:spacing w:after="200" w:before="200"/>
        <w:jc w:val="center"/>
      </w:pPr>
      <w:r>
        <w:t xml:space="preserve"/>
      </w:r>
    </w:p>
    <w:p>
      <w:pPr>
        <w:spacing w:after="100" w:before="400"/>
        <w:jc w:val="center"/>
      </w:pPr>
      <w:r>
        <w:rPr>
          <w:rFonts w:ascii="微软雅黑" w:cs="微软雅黑" w:eastAsia="微软雅黑" w:hAnsi="微软雅黑"/>
          <w:b/>
          <w:bCs/>
          <w:color w:val="E89500"/>
          <w:sz w:val="52"/>
          <w:szCs w:val="52"/>
        </w:rPr>
        <w:t xml:space="preserve">解决方案文档</w:t>
      </w:r>
    </w:p>
    <w:p>
      <w:pPr>
        <w:spacing w:after="100" w:before="100"/>
        <w:jc w:val="center"/>
      </w:pPr>
      <w:r>
        <w:rPr>
          <w:rFonts w:ascii="微软雅黑" w:cs="微软雅黑" w:eastAsia="微软雅黑" w:hAnsi="微软雅黑"/>
          <w:color w:val="808080"/>
          <w:sz w:val="24"/>
          <w:szCs w:val="24"/>
        </w:rPr>
        <w:t xml:space="preserve">Solution Document</w:t>
      </w:r>
    </w:p>
    <w:p>
      <w:pPr>
        <w:spacing w:before="2000"/>
      </w:pPr>
      <w:r>
        <w:t xml:space="preserve"/>
      </w:r>
    </w:p>
    <w:p>
      <w:pPr>
        <w:spacing w:after="60" w:before="100"/>
        <w:jc w:val="center"/>
      </w:pPr>
      <w:r>
        <w:rPr>
          <w:rFonts w:ascii="微软雅黑" w:cs="微软雅黑" w:eastAsia="微软雅黑" w:hAnsi="微软雅黑"/>
          <w:color w:val="1F3864"/>
          <w:sz w:val="22"/>
          <w:szCs w:val="22"/>
        </w:rPr>
        <w:t xml:space="preserve">文档类型：解决方案文档</w:t>
      </w:r>
    </w:p>
    <w:p>
      <w:pPr>
        <w:spacing w:after="60" w:before="60"/>
        <w:jc w:val="center"/>
      </w:pPr>
      <w:r>
        <w:rPr>
          <w:rFonts w:ascii="微软雅黑" w:cs="微软雅黑" w:eastAsia="微软雅黑" w:hAnsi="微软雅黑"/>
          <w:color w:val="1F3864"/>
          <w:sz w:val="22"/>
          <w:szCs w:val="22"/>
        </w:rPr>
        <w:t xml:space="preserve">版本：V1.0</w:t>
      </w:r>
    </w:p>
    <w:p>
      <w:pPr>
        <w:spacing w:after="60" w:before="60"/>
        <w:jc w:val="center"/>
      </w:pPr>
      <w:r>
        <w:rPr>
          <w:rFonts w:ascii="微软雅黑" w:cs="微软雅黑" w:eastAsia="微软雅黑" w:hAnsi="微软雅黑"/>
          <w:color w:val="1F3864"/>
          <w:sz w:val="22"/>
          <w:szCs w:val="22"/>
        </w:rPr>
        <w:t xml:space="preserve">日期：2026年8月</w:t>
      </w:r>
    </w:p>
    <w:p>
      <w:r>
        <w:br w:type="page"/>
      </w:r>
    </w:p>
    <w:p>
      <w:pPr>
        <w:pStyle w:val="1"/>
        <w:spacing w:after="120" w:before="240"/>
      </w:pPr>
      <w:r>
        <w:rPr>
          <w:rFonts w:ascii="微软雅黑" w:cs="微软雅黑" w:eastAsia="微软雅黑" w:hAnsi="微软雅黑"/>
          <w:b/>
          <w:bCs/>
          <w:color w:val="2C5F8D"/>
          <w:sz w:val="36"/>
          <w:szCs w:val="36"/>
        </w:rPr>
        <w:t xml:space="preserve">目  录</w:t>
      </w:r>
    </w:p>
    <w:sdt>
      <w:sdtPr>
        <w:alias w:val="目录"/>
      </w:sdtPr>
      <w:sdtContent>
        <w:p>
          <w:r>
            <w:fldChar w:fldCharType="begin" w:dirty="true"/>
            <w:instrText xml:space="preserve">TOC \h \o "1-3"</w:instrText>
            <w:fldChar w:fldCharType="separate"/>
          </w:r>
        </w:p>
        <w:p>
          <w:r>
            <w:fldChar w:fldCharType="end"/>
          </w:r>
        </w:p>
      </w:sdtContent>
    </w:sdt>
    <w:p>
      <w:r>
        <w:br w:type="page"/>
      </w:r>
    </w:p>
    <w:p>
      <w:pPr>
        <w:pStyle w:val="1"/>
        <w:spacing w:after="120" w:before="240"/>
      </w:pPr>
      <w:r>
        <w:rPr>
          <w:rFonts w:ascii="微软雅黑" w:cs="微软雅黑" w:eastAsia="微软雅黑" w:hAnsi="微软雅黑"/>
          <w:b/>
          <w:bCs/>
          <w:color w:val="2C5F8D"/>
          <w:sz w:val="36"/>
          <w:szCs w:val="36"/>
        </w:rPr>
        <w:t xml:space="preserve">第1章 项目概述</w:t>
      </w:r>
    </w:p>
    <w:p>
      <w:pPr>
        <w:pStyle w:val="2"/>
        <w:spacing w:after="120" w:before="240"/>
      </w:pPr>
      <w:r>
        <w:rPr>
          <w:rFonts w:ascii="微软雅黑" w:cs="微软雅黑" w:eastAsia="微软雅黑" w:hAnsi="微软雅黑"/>
          <w:b/>
          <w:bCs/>
          <w:color w:val="2C5F8D"/>
          <w:sz w:val="30"/>
          <w:szCs w:val="30"/>
        </w:rPr>
        <w:t xml:space="preserve">1.1 项目背景</w:t>
      </w:r>
    </w:p>
    <w:p>
      <w:pPr>
        <w:spacing w:after="60" w:before="60" w:line="360"/>
        <w:ind w:firstLine="431"/>
        <w:jc w:val="both"/>
      </w:pPr>
      <w:r>
        <w:rPr>
          <w:rFonts w:ascii="微软雅黑" w:cs="微软雅黑" w:eastAsia="微软雅黑" w:hAnsi="微软雅黑"/>
          <w:b w:val="false"/>
          <w:bCs w:val="false"/>
          <w:color w:val="000000"/>
          <w:sz w:val="22"/>
          <w:szCs w:val="22"/>
        </w:rPr>
        <w:t xml:space="preserve">在青少年体育训练和大众健身领域，运动训练处方的制定长期依赖教练员的经验判断，存在标准化程度低、个性化不足、伤病风险管控薄弱等突出问题。传统的处方生成方式难以综合考量运动员的体能短板、健康伤病状态、历史训练执行情况等多维度信息，更缺乏对训练负荷渐进性、肌群恢复周期、动作风险等关键因素的量化约束，导致训练效果不稳定甚至引发运动损伤。</w:t>
      </w:r>
    </w:p>
    <w:p>
      <w:pPr>
        <w:spacing w:after="60" w:before="60" w:line="360"/>
        <w:ind w:firstLine="431"/>
        <w:jc w:val="both"/>
      </w:pPr>
      <w:r>
        <w:rPr>
          <w:rFonts w:ascii="微软雅黑" w:cs="微软雅黑" w:eastAsia="微软雅黑" w:hAnsi="微软雅黑"/>
          <w:b w:val="false"/>
          <w:bCs w:val="false"/>
          <w:color w:val="000000"/>
          <w:sz w:val="22"/>
          <w:szCs w:val="22"/>
        </w:rPr>
        <w:t xml:space="preserve">随着大语言模型（LLM）技术的快速发展，基于AI的智能处方生成成为可能。然而，直接使用LLM生成训练处方面临三大挑战：第一，LLM缺乏对运动训练专业知识的深度理解，容易生成不符合运动科学原理的方案；第二，LLM的输出难以保证严格满足伤病规避、肌群间隔、负荷渐进等硬性约束；第三，LLM无法从历史训练执行结果中持续学习和改进策略，缺乏自我优化能力。</w:t>
      </w:r>
    </w:p>
    <w:p>
      <w:pPr>
        <w:spacing w:after="60" w:before="60" w:line="360"/>
        <w:ind w:firstLine="431"/>
        <w:jc w:val="both"/>
      </w:pPr>
      <w:r>
        <w:rPr>
          <w:rFonts w:ascii="微软雅黑" w:cs="微软雅黑" w:eastAsia="微软雅黑" w:hAnsi="微软雅黑"/>
          <w:b w:val="false"/>
          <w:bCs w:val="false"/>
          <w:color w:val="000000"/>
          <w:sz w:val="22"/>
          <w:szCs w:val="22"/>
        </w:rPr>
        <w:t xml:space="preserve">本项目参考GitHub开源项目JitRL（https://github.com/liushiliushi/JitRL）的设计理念，采用无梯度更新的LLM Agent持续强化学习技术，结合六级约束优先级体系和六大标准化业务模块，构建了一套完整的智能运动训练处方生成智能体。该系统能够在保证运动科学严谨性的前提下，自动生成个性化、安全、可执行的多周训练处方，并通过持续学习机制不断优化处方质量。</w:t>
      </w:r>
    </w:p>
    <w:p>
      <w:pPr>
        <w:pStyle w:val="2"/>
        <w:spacing w:after="120" w:before="240"/>
      </w:pPr>
      <w:r>
        <w:rPr>
          <w:rFonts w:ascii="微软雅黑" w:cs="微软雅黑" w:eastAsia="微软雅黑" w:hAnsi="微软雅黑"/>
          <w:b/>
          <w:bCs/>
          <w:color w:val="2C5F8D"/>
          <w:sz w:val="30"/>
          <w:szCs w:val="30"/>
        </w:rPr>
        <w:t xml:space="preserve">1.2 项目目标</w:t>
      </w:r>
    </w:p>
    <w:p>
      <w:pPr>
        <w:spacing w:after="60" w:before="60" w:line="360"/>
        <w:ind w:firstLine="431"/>
        <w:jc w:val="both"/>
      </w:pPr>
      <w:r>
        <w:rPr>
          <w:rFonts w:ascii="微软雅黑" w:cs="微软雅黑" w:eastAsia="微软雅黑" w:hAnsi="微软雅黑"/>
          <w:b w:val="false"/>
          <w:bCs w:val="false"/>
          <w:color w:val="000000"/>
          <w:sz w:val="22"/>
          <w:szCs w:val="22"/>
        </w:rPr>
        <w:t xml:space="preserve">本项目的核心目标是构建一个生产可用的智能运动训练处方生成系统，具体目标包括：</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智能化目标：基于多维度输入（运动负荷指数、体能短板、人员信息、健康伤病信息、体测记录、历史训练执行记录、个性化训练需求），自动生成结构化、可执行的多周训练处方。</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安全化目标：严格执行六级约束优先级，确保处方规避伤病风险动作、满足肌群恢复间隔、控制训练负荷渐进，杜绝因处方不当导致的运动损伤。</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个性化目标：根据运动员的体能短板、体测成绩、训练目标，针对性安排主攻素质训练，并通过1RM负重换算实现力量训练的精准负荷控制。</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持续学习目标：基于JitRL无梯度强化学习技术，通过经验回放缓冲区和奖励模型，从历史训练执行结果中持续学习，不断优化处方生成策略。</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工程化目标：提供CLI和FastAPI双入口，支持Ollama和vLLM双LLM后端，支持Neo4j知识图谱和内置知识库双模式，满足不同部署环境的需求。</w:t>
      </w:r>
    </w:p>
    <w:p>
      <w:pPr>
        <w:pStyle w:val="2"/>
        <w:spacing w:after="120" w:before="240"/>
      </w:pPr>
      <w:r>
        <w:rPr>
          <w:rFonts w:ascii="微软雅黑" w:cs="微软雅黑" w:eastAsia="微软雅黑" w:hAnsi="微软雅黑"/>
          <w:b/>
          <w:bCs/>
          <w:color w:val="2C5F8D"/>
          <w:sz w:val="30"/>
          <w:szCs w:val="30"/>
        </w:rPr>
        <w:t xml:space="preserve">1.3 适用场景</w:t>
      </w:r>
    </w:p>
    <w:p>
      <w:pPr>
        <w:spacing w:after="60" w:before="60" w:line="360"/>
        <w:ind w:firstLine="431"/>
        <w:jc w:val="both"/>
      </w:pPr>
      <w:r>
        <w:rPr>
          <w:rFonts w:ascii="微软雅黑" w:cs="微软雅黑" w:eastAsia="微软雅黑" w:hAnsi="微软雅黑"/>
          <w:b w:val="false"/>
          <w:bCs w:val="false"/>
          <w:color w:val="000000"/>
          <w:sz w:val="22"/>
          <w:szCs w:val="22"/>
        </w:rPr>
        <w:t xml:space="preserve">本系统适用于以下典型场景：</w:t>
      </w:r>
    </w:p>
    <w:tbl>
      <w:tblPr>
        <w:tblW w:type="pct" w:w="100%"/>
        <w:tblBorders>
          <w:top w:val="single" w:color="808080" w:sz="1"/>
          <w:left w:val="single" w:color="808080" w:sz="1"/>
          <w:bottom w:val="single" w:color="808080" w:sz="1"/>
          <w:right w:val="single" w:color="808080" w:sz="1"/>
          <w:insideH w:val="single" w:color="808080" w:sz="1"/>
          <w:insideV w:val="single" w:color="808080" w:sz="1"/>
        </w:tblBorders>
      </w:tblPr>
      <w:tblGrid>
        <w:gridCol w:w="100"/>
        <w:gridCol w:w="100"/>
        <w:gridCol w:w="100"/>
        <w:gridCol w:w="100"/>
      </w:tblGrid>
      <w:tr>
        <w:trPr>
          <w:tblHeader/>
        </w:trPr>
        <w:tc>
          <w:tcPr>
            <w:tcW w:type="pct" w:w="1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场景类型</w:t>
            </w:r>
          </w:p>
        </w:tc>
        <w:tc>
          <w:tcPr>
            <w:tcW w:type="pct" w:w="20%"/>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典型用户</w:t>
            </w:r>
          </w:p>
        </w:tc>
        <w:tc>
          <w:tcPr>
            <w:tcW w:type="pct" w:w="30%"/>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核心需求</w:t>
            </w:r>
          </w:p>
        </w:tc>
        <w:tc>
          <w:tcPr>
            <w:tcW w:type="pct" w:w="3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系统价值</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青少年体育训练</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中学体育教师、校队教练</w:t>
            </w:r>
          </w:p>
        </w:tc>
        <w:tc>
          <w:tcPr>
            <w:tcW w:type="pct" w:w="3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针对体测项目补强、伤病预防、周期化训练</w:t>
            </w:r>
          </w:p>
        </w:tc>
        <w:tc>
          <w:tcPr>
            <w:tcW w:type="pct" w:w="3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自动规避青少年训练风险动作，按周期渐进安排负荷</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大众健身指导</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健身房教练、健身爱好者</w:t>
            </w:r>
          </w:p>
        </w:tc>
        <w:tc>
          <w:tcPr>
            <w:tcW w:type="pct" w:w="3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个性化训练计划、肌群均衡发展、器械适配</w:t>
            </w:r>
          </w:p>
        </w:tc>
        <w:tc>
          <w:tcPr>
            <w:tcW w:type="pct" w:w="3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根据可用器械过滤动作，确保肌群间隔与负荷渐进</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运动康复训练</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康复师、物理治疗师</w:t>
            </w:r>
          </w:p>
        </w:tc>
        <w:tc>
          <w:tcPr>
            <w:tcW w:type="pct" w:w="3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伤病规避、渐进恢复、功能重建</w:t>
            </w:r>
          </w:p>
        </w:tc>
        <w:tc>
          <w:tcPr>
            <w:tcW w:type="pct" w:w="3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基于伤病信息严格过滤禁做动作，推荐安全替代动作</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竞技体育训练</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专业队教练、体能教练</w:t>
            </w:r>
          </w:p>
        </w:tc>
        <w:tc>
          <w:tcPr>
            <w:tcW w:type="pct" w:w="3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精准负荷控制、体能短板补强、周期化进阶</w:t>
            </w:r>
          </w:p>
        </w:tc>
        <w:tc>
          <w:tcPr>
            <w:tcW w:type="pct" w:w="3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1RM负重换算+四周周期渐进，实现科学化训练</w:t>
            </w:r>
          </w:p>
        </w:tc>
      </w:tr>
    </w:tbl>
    <w:p>
      <w:pPr>
        <w:spacing w:after="60" w:before="60"/>
      </w:pPr>
      <w:r>
        <w:t xml:space="preserve"/>
      </w:r>
    </w:p>
    <w:p>
      <w:pPr>
        <w:pStyle w:val="2"/>
        <w:spacing w:after="120" w:before="240"/>
      </w:pPr>
      <w:r>
        <w:rPr>
          <w:rFonts w:ascii="微软雅黑" w:cs="微软雅黑" w:eastAsia="微软雅黑" w:hAnsi="微软雅黑"/>
          <w:b/>
          <w:bCs/>
          <w:color w:val="2C5F8D"/>
          <w:sz w:val="30"/>
          <w:szCs w:val="30"/>
        </w:rPr>
        <w:t xml:space="preserve">1.4 核心价值</w:t>
      </w:r>
    </w:p>
    <w:p>
      <w:pPr>
        <w:spacing w:after="60" w:before="60" w:line="360"/>
        <w:ind w:firstLine="431"/>
        <w:jc w:val="both"/>
      </w:pPr>
      <w:r>
        <w:rPr>
          <w:rFonts w:ascii="微软雅黑" w:cs="微软雅黑" w:eastAsia="微软雅黑" w:hAnsi="微软雅黑"/>
          <w:b w:val="false"/>
          <w:bCs w:val="false"/>
          <w:color w:val="000000"/>
          <w:sz w:val="22"/>
          <w:szCs w:val="22"/>
        </w:rPr>
        <w:t xml:space="preserve">本系统相比传统处方生成方式，具有以下核心价值：</w:t>
      </w:r>
    </w:p>
    <w:p>
      <w:pPr>
        <w:pStyle w:val="ListParagraph"/>
        <w:numPr>
          <w:ilvl w:val="0"/>
          <w:numId w:val="2"/>
        </w:numPr>
        <w:spacing w:after="40" w:before="40" w:line="320"/>
      </w:pPr>
      <w:r>
        <w:rPr>
          <w:rFonts w:ascii="微软雅黑" w:cs="微软雅黑" w:eastAsia="微软雅黑" w:hAnsi="微软雅黑"/>
          <w:b w:val="false"/>
          <w:bCs w:val="false"/>
          <w:sz w:val="22"/>
          <w:szCs w:val="22"/>
        </w:rPr>
        <w:t xml:space="preserve">安全优先：通过P1级动作风控过滤器，基于Neo4j知识图谱的标签隔离检索，精准识别伤病冲突动作，从源头杜绝训练风险。系统对踝关节、膝关节、腰椎、肩袖等关键部位的伤病建立了完整的风险标签体系，确保处方中的每一个动作都经过风控验证。</w:t>
      </w:r>
    </w:p>
    <w:p>
      <w:pPr>
        <w:pStyle w:val="ListParagraph"/>
        <w:numPr>
          <w:ilvl w:val="0"/>
          <w:numId w:val="2"/>
        </w:numPr>
        <w:spacing w:after="40" w:before="40" w:line="320"/>
      </w:pPr>
      <w:r>
        <w:rPr>
          <w:rFonts w:ascii="微软雅黑" w:cs="微软雅黑" w:eastAsia="微软雅黑" w:hAnsi="微软雅黑"/>
          <w:b w:val="false"/>
          <w:bCs w:val="false"/>
          <w:sz w:val="22"/>
          <w:szCs w:val="22"/>
        </w:rPr>
        <w:t xml:space="preserve">科学严谨：六级约束优先级确保处方严格遵循运动科学原理。从伤病规避到体能调度，从肌群间隔到1RM换算，从周期渐进到时长控制，每一层约束都有明确的科学依据和量化阈值，避免经验主义带来的随意性。</w:t>
      </w:r>
    </w:p>
    <w:p>
      <w:pPr>
        <w:pStyle w:val="ListParagraph"/>
        <w:numPr>
          <w:ilvl w:val="0"/>
          <w:numId w:val="2"/>
        </w:numPr>
        <w:spacing w:after="40" w:before="40" w:line="320"/>
      </w:pPr>
      <w:r>
        <w:rPr>
          <w:rFonts w:ascii="微软雅黑" w:cs="微软雅黑" w:eastAsia="微软雅黑" w:hAnsi="微软雅黑"/>
          <w:b w:val="false"/>
          <w:bCs w:val="false"/>
          <w:sz w:val="22"/>
          <w:szCs w:val="22"/>
        </w:rPr>
        <w:t xml:space="preserve">持续进化：JitRL无梯度强化学习机制使系统具备自我优化能力。每次训练执行后，系统通过5维奖励模型评估处方质量，将高质量经验存入缓冲区，并在后续处方生成中作为in-context示例检索使用，实现策略的持续改进。</w:t>
      </w:r>
    </w:p>
    <w:p>
      <w:pPr>
        <w:pStyle w:val="ListParagraph"/>
        <w:numPr>
          <w:ilvl w:val="0"/>
          <w:numId w:val="2"/>
        </w:numPr>
        <w:spacing w:after="40" w:before="40" w:line="320"/>
      </w:pPr>
      <w:r>
        <w:rPr>
          <w:rFonts w:ascii="微软雅黑" w:cs="微软雅黑" w:eastAsia="微软雅黑" w:hAnsi="微软雅黑"/>
          <w:b w:val="false"/>
          <w:bCs w:val="false"/>
          <w:sz w:val="22"/>
          <w:szCs w:val="22"/>
        </w:rPr>
        <w:t xml:space="preserve">灵活部署：双LLM后端（Ollama/vLLM）和双知识库（Neo4j/内置）的设计，使系统能够适应从本地开发到生产部署的各种环境。即使LLM服务不可用，系统也能通过规则回退机制生成基础处方。</w:t>
      </w:r>
    </w:p>
    <w:p>
      <w:r>
        <w:br w:type="page"/>
      </w:r>
    </w:p>
    <w:p>
      <w:pPr>
        <w:pStyle w:val="1"/>
        <w:spacing w:after="120" w:before="240"/>
      </w:pPr>
      <w:r>
        <w:rPr>
          <w:rFonts w:ascii="微软雅黑" w:cs="微软雅黑" w:eastAsia="微软雅黑" w:hAnsi="微软雅黑"/>
          <w:b/>
          <w:bCs/>
          <w:color w:val="2C5F8D"/>
          <w:sz w:val="36"/>
          <w:szCs w:val="36"/>
        </w:rPr>
        <w:t xml:space="preserve">第2章 需求分析</w:t>
      </w:r>
    </w:p>
    <w:p>
      <w:pPr>
        <w:pStyle w:val="2"/>
        <w:spacing w:after="120" w:before="240"/>
      </w:pPr>
      <w:r>
        <w:rPr>
          <w:rFonts w:ascii="微软雅黑" w:cs="微软雅黑" w:eastAsia="微软雅黑" w:hAnsi="微软雅黑"/>
          <w:b/>
          <w:bCs/>
          <w:color w:val="2C5F8D"/>
          <w:sz w:val="30"/>
          <w:szCs w:val="30"/>
        </w:rPr>
        <w:t xml:space="preserve">2.1 功能需求</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系统的功能需求覆盖输入解析、约束执行、处方生成、持续学习四大领域，具体如下：</w:t>
      </w:r>
    </w:p>
    <w:p>
      <w:pPr>
        <w:pStyle w:val="3"/>
        <w:spacing w:after="120" w:before="240"/>
      </w:pPr>
      <w:r>
        <w:rPr>
          <w:rFonts w:ascii="微软雅黑" w:cs="微软雅黑" w:eastAsia="微软雅黑" w:hAnsi="微软雅黑"/>
          <w:b/>
          <w:bCs/>
          <w:color w:val="2C5F8D"/>
          <w:sz w:val="26"/>
          <w:szCs w:val="26"/>
        </w:rPr>
        <w:t xml:space="preserve">2.1.1 输入解析需求</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系统需支持以下7类输入参数的解析与校验：</w:t>
      </w:r>
    </w:p>
    <w:tbl>
      <w:tblPr>
        <w:tblW w:type="pct" w:w="100%"/>
        <w:tblBorders>
          <w:top w:val="single" w:color="808080" w:sz="1"/>
          <w:left w:val="single" w:color="808080" w:sz="1"/>
          <w:bottom w:val="single" w:color="808080" w:sz="1"/>
          <w:right w:val="single" w:color="808080" w:sz="1"/>
          <w:insideH w:val="single" w:color="808080" w:sz="1"/>
          <w:insideV w:val="single" w:color="808080" w:sz="1"/>
        </w:tblBorders>
      </w:tblPr>
      <w:tblGrid>
        <w:gridCol w:w="100"/>
        <w:gridCol w:w="100"/>
        <w:gridCol w:w="100"/>
        <w:gridCol w:w="100"/>
      </w:tblGrid>
      <w:tr>
        <w:trPr>
          <w:tblHeader/>
        </w:trPr>
        <w:tc>
          <w:tcPr>
            <w:tcW w:type="pct" w:w="18%"/>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参数名称</w:t>
            </w:r>
          </w:p>
        </w:tc>
        <w:tc>
          <w:tcPr>
            <w:tcW w:type="pct" w:w="22%"/>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字段名</w:t>
            </w:r>
          </w:p>
        </w:tc>
        <w:tc>
          <w:tcPr>
            <w:tcW w:type="pct" w:w="1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数据类型</w:t>
            </w:r>
          </w:p>
        </w:tc>
        <w:tc>
          <w:tcPr>
            <w:tcW w:type="pct" w:w="4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说明</w:t>
            </w:r>
          </w:p>
        </w:tc>
      </w:tr>
      <w:tr>
        <w:tc>
          <w:tcPr>
            <w:tcW w:type="pct" w:w="1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运动负荷指数</w:t>
            </w:r>
          </w:p>
        </w:tc>
        <w:tc>
          <w:tcPr>
            <w:tcW w:type="pct" w:w="2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latestExerciseLoadIndex</w:t>
            </w:r>
          </w:p>
        </w:tc>
        <w:tc>
          <w:tcPr>
            <w:tcW w:type="pct" w:w="1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Float/Null</w:t>
            </w:r>
          </w:p>
        </w:tc>
        <w:tc>
          <w:tcPr>
            <w:tcW w:type="pct" w:w="4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顶层快捷字段，最新训练记录的负荷指数</w:t>
            </w:r>
          </w:p>
        </w:tc>
      </w:tr>
      <w:tr>
        <w:tc>
          <w:tcPr>
            <w:tcW w:type="pct" w:w="18%"/>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体能短板</w:t>
            </w:r>
          </w:p>
        </w:tc>
        <w:tc>
          <w:tcPr>
            <w:tcW w:type="pct" w:w="2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fitnessWeakness</w:t>
            </w:r>
          </w:p>
        </w:tc>
        <w:tc>
          <w:tcPr>
            <w:tcW w:type="pct" w:w="1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Array&lt;String&gt;</w:t>
            </w:r>
          </w:p>
        </w:tc>
        <w:tc>
          <w:tcPr>
            <w:tcW w:type="pct" w:w="4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标准体能素质名称数组，指导针对性补强</w:t>
            </w:r>
          </w:p>
        </w:tc>
      </w:tr>
      <w:tr>
        <w:tc>
          <w:tcPr>
            <w:tcW w:type="pct" w:w="1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人员信息</w:t>
            </w:r>
          </w:p>
        </w:tc>
        <w:tc>
          <w:tcPr>
            <w:tcW w:type="pct" w:w="2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personInfo</w:t>
            </w:r>
          </w:p>
        </w:tc>
        <w:tc>
          <w:tcPr>
            <w:tcW w:type="pct" w:w="1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Object</w:t>
            </w:r>
          </w:p>
        </w:tc>
        <w:tc>
          <w:tcPr>
            <w:tcW w:type="pct" w:w="4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人员ID、姓名、年龄、性别、身高、体重、BMI、班级</w:t>
            </w:r>
          </w:p>
        </w:tc>
      </w:tr>
      <w:tr>
        <w:tc>
          <w:tcPr>
            <w:tcW w:type="pct" w:w="18%"/>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健康伤病信息</w:t>
            </w:r>
          </w:p>
        </w:tc>
        <w:tc>
          <w:tcPr>
            <w:tcW w:type="pct" w:w="2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healthInfo</w:t>
            </w:r>
          </w:p>
        </w:tc>
        <w:tc>
          <w:tcPr>
            <w:tcW w:type="pct" w:w="1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Object</w:t>
            </w:r>
          </w:p>
        </w:tc>
        <w:tc>
          <w:tcPr>
            <w:tcW w:type="pct" w:w="4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当前未痊愈伤病（强约束）+ 既往陈旧损伤</w:t>
            </w:r>
          </w:p>
        </w:tc>
      </w:tr>
      <w:tr>
        <w:tc>
          <w:tcPr>
            <w:tcW w:type="pct" w:w="1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体测记录</w:t>
            </w:r>
          </w:p>
        </w:tc>
        <w:tc>
          <w:tcPr>
            <w:tcW w:type="pct" w:w="2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fitnessTestRecords</w:t>
            </w:r>
          </w:p>
        </w:tc>
        <w:tc>
          <w:tcPr>
            <w:tcW w:type="pct" w:w="1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Array&lt;Object&gt;</w:t>
            </w:r>
          </w:p>
        </w:tc>
        <w:tc>
          <w:tcPr>
            <w:tcW w:type="pct" w:w="4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多条历史体测，含单项成绩明细</w:t>
            </w:r>
          </w:p>
        </w:tc>
      </w:tr>
      <w:tr>
        <w:tc>
          <w:tcPr>
            <w:tcW w:type="pct" w:w="18%"/>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历史训练执行记录</w:t>
            </w:r>
          </w:p>
        </w:tc>
        <w:tc>
          <w:tcPr>
            <w:tcW w:type="pct" w:w="2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trainExecuteRecords</w:t>
            </w:r>
          </w:p>
        </w:tc>
        <w:tc>
          <w:tcPr>
            <w:tcW w:type="pct" w:w="1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Array&lt;Object&gt;</w:t>
            </w:r>
          </w:p>
        </w:tc>
        <w:tc>
          <w:tcPr>
            <w:tcW w:type="pct" w:w="4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过往训练详情，含动作完成率、疲劳、疼痛</w:t>
            </w:r>
          </w:p>
        </w:tc>
      </w:tr>
      <w:tr>
        <w:tc>
          <w:tcPr>
            <w:tcW w:type="pct" w:w="1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个性化训练需求</w:t>
            </w:r>
          </w:p>
        </w:tc>
        <w:tc>
          <w:tcPr>
            <w:tcW w:type="pct" w:w="2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trainDemand</w:t>
            </w:r>
          </w:p>
        </w:tc>
        <w:tc>
          <w:tcPr>
            <w:tcW w:type="pct" w:w="1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Object</w:t>
            </w:r>
          </w:p>
        </w:tc>
        <w:tc>
          <w:tcPr>
            <w:tcW w:type="pct" w:w="4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周期、目标、训练日、时长、器械、休息日</w:t>
            </w:r>
          </w:p>
        </w:tc>
      </w:tr>
    </w:tbl>
    <w:p>
      <w:pPr>
        <w:spacing w:after="60" w:before="60"/>
      </w:pPr>
      <w:r>
        <w:t xml:space="preserve"/>
      </w:r>
    </w:p>
    <w:p>
      <w:pPr>
        <w:pStyle w:val="3"/>
        <w:spacing w:after="120" w:before="240"/>
      </w:pPr>
      <w:r>
        <w:rPr>
          <w:rFonts w:ascii="微软雅黑" w:cs="微软雅黑" w:eastAsia="微软雅黑" w:hAnsi="微软雅黑"/>
          <w:b/>
          <w:bCs/>
          <w:color w:val="2C5F8D"/>
          <w:sz w:val="26"/>
          <w:szCs w:val="26"/>
        </w:rPr>
        <w:t xml:space="preserve">2.1.2 约束执行需求</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系统需严格执行六级约束优先级，各级约束的执行需求如下：</w:t>
      </w:r>
    </w:p>
    <w:tbl>
      <w:tblPr>
        <w:tblW w:type="pct" w:w="100%"/>
        <w:tblBorders>
          <w:top w:val="single" w:color="808080" w:sz="1"/>
          <w:left w:val="single" w:color="808080" w:sz="1"/>
          <w:bottom w:val="single" w:color="808080" w:sz="1"/>
          <w:right w:val="single" w:color="808080" w:sz="1"/>
          <w:insideH w:val="single" w:color="808080" w:sz="1"/>
          <w:insideV w:val="single" w:color="808080" w:sz="1"/>
        </w:tblBorders>
      </w:tblPr>
      <w:tblGrid>
        <w:gridCol w:w="100"/>
        <w:gridCol w:w="100"/>
        <w:gridCol w:w="100"/>
        <w:gridCol w:w="100"/>
      </w:tblGrid>
      <w:tr>
        <w:trPr>
          <w:tblHeader/>
        </w:trPr>
        <w:tc>
          <w:tcPr>
            <w:tcW w:type="pct" w:w="8%"/>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优先级</w:t>
            </w:r>
          </w:p>
        </w:tc>
        <w:tc>
          <w:tcPr>
            <w:tcW w:type="pct" w:w="18%"/>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约束名称</w:t>
            </w:r>
          </w:p>
        </w:tc>
        <w:tc>
          <w:tcPr>
            <w:tcW w:type="pct" w:w="42%"/>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执行要求</w:t>
            </w:r>
          </w:p>
        </w:tc>
        <w:tc>
          <w:tcPr>
            <w:tcW w:type="pct" w:w="32%"/>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违反处理</w:t>
            </w:r>
          </w:p>
        </w:tc>
      </w:tr>
      <w:tr>
        <w:tc>
          <w:tcPr>
            <w:tcW w:type="pct" w:w="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P1</w:t>
            </w:r>
          </w:p>
        </w:tc>
        <w:tc>
          <w:tcPr>
            <w:tcW w:type="pct" w:w="18%"/>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动作风控过滤</w:t>
            </w:r>
          </w:p>
        </w:tc>
        <w:tc>
          <w:tcPr>
            <w:tcW w:type="pct" w:w="4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匹配伤病/FMS限制，输出禁做动作</w:t>
            </w:r>
          </w:p>
        </w:tc>
        <w:tc>
          <w:tcPr>
            <w:tcW w:type="pct" w:w="3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强制剔除，推荐替代动作</w:t>
            </w:r>
          </w:p>
        </w:tc>
      </w:tr>
      <w:tr>
        <w:tc>
          <w:tcPr>
            <w:tcW w:type="pct" w:w="8%"/>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P2</w:t>
            </w:r>
          </w:p>
        </w:tc>
        <w:tc>
          <w:tcPr>
            <w:tcW w:type="pct" w:w="18%"/>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体能素质调度</w:t>
            </w:r>
          </w:p>
        </w:tc>
        <w:tc>
          <w:tcPr>
            <w:tcW w:type="pct" w:w="4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主攻素质频次≥保持素质×1.5</w:t>
            </w:r>
          </w:p>
        </w:tc>
        <w:tc>
          <w:tcPr>
            <w:tcW w:type="pct" w:w="3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重新分配训练日</w:t>
            </w:r>
          </w:p>
        </w:tc>
      </w:tr>
      <w:tr>
        <w:tc>
          <w:tcPr>
            <w:tcW w:type="pct" w:w="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P3</w:t>
            </w:r>
          </w:p>
        </w:tc>
        <w:tc>
          <w:tcPr>
            <w:tcW w:type="pct" w:w="18%"/>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肌群间隔编排</w:t>
            </w:r>
          </w:p>
        </w:tc>
        <w:tc>
          <w:tcPr>
            <w:tcW w:type="pct" w:w="4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同一大肌群间隔≥48小时</w:t>
            </w:r>
          </w:p>
        </w:tc>
        <w:tc>
          <w:tcPr>
            <w:tcW w:type="pct" w:w="3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调整训练日或更换肌群</w:t>
            </w:r>
          </w:p>
        </w:tc>
      </w:tr>
      <w:tr>
        <w:tc>
          <w:tcPr>
            <w:tcW w:type="pct" w:w="8%"/>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P4</w:t>
            </w:r>
          </w:p>
        </w:tc>
        <w:tc>
          <w:tcPr>
            <w:tcW w:type="pct" w:w="18%"/>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1RM负重换算</w:t>
            </w:r>
          </w:p>
        </w:tc>
        <w:tc>
          <w:tcPr>
            <w:tcW w:type="pct" w:w="4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力量动作按周期阶段计算训练重量</w:t>
            </w:r>
          </w:p>
        </w:tc>
        <w:tc>
          <w:tcPr>
            <w:tcW w:type="pct" w:w="3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自动计算目标重量</w:t>
            </w:r>
          </w:p>
        </w:tc>
      </w:tr>
      <w:tr>
        <w:tc>
          <w:tcPr>
            <w:tcW w:type="pct" w:w="8%"/>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P5</w:t>
            </w:r>
          </w:p>
        </w:tc>
        <w:tc>
          <w:tcPr>
            <w:tcW w:type="pct" w:w="18%"/>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四周周期渐进</w:t>
            </w:r>
          </w:p>
        </w:tc>
        <w:tc>
          <w:tcPr>
            <w:tcW w:type="pct" w:w="4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适应期降量→提高期超负荷→稳定期维持</w:t>
            </w:r>
          </w:p>
        </w:tc>
        <w:tc>
          <w:tcPr>
            <w:tcW w:type="pct" w:w="32%"/>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按阶段系数调整负荷</w:t>
            </w:r>
          </w:p>
        </w:tc>
      </w:tr>
      <w:tr>
        <w:tc>
          <w:tcPr>
            <w:tcW w:type="pct" w:w="8%"/>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P6</w:t>
            </w:r>
          </w:p>
        </w:tc>
        <w:tc>
          <w:tcPr>
            <w:tcW w:type="pct" w:w="18%"/>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时长增幅控制</w:t>
            </w:r>
          </w:p>
        </w:tc>
        <w:tc>
          <w:tcPr>
            <w:tcW w:type="pct" w:w="4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单日≤90分钟，周增幅≤10%</w:t>
            </w:r>
          </w:p>
        </w:tc>
        <w:tc>
          <w:tcPr>
            <w:tcW w:type="pct" w:w="32%"/>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裁剪动作或下调负荷</w:t>
            </w:r>
          </w:p>
        </w:tc>
      </w:tr>
    </w:tbl>
    <w:p>
      <w:pPr>
        <w:spacing w:after="60" w:before="60"/>
      </w:pPr>
      <w:r>
        <w:t xml:space="preserve"/>
      </w:r>
    </w:p>
    <w:p>
      <w:pPr>
        <w:pStyle w:val="3"/>
        <w:spacing w:after="120" w:before="240"/>
      </w:pPr>
      <w:r>
        <w:rPr>
          <w:rFonts w:ascii="微软雅黑" w:cs="微软雅黑" w:eastAsia="微软雅黑" w:hAnsi="微软雅黑"/>
          <w:b/>
          <w:bCs/>
          <w:color w:val="2C5F8D"/>
          <w:sz w:val="26"/>
          <w:szCs w:val="26"/>
        </w:rPr>
        <w:t xml:space="preserve">2.1.3 处方生成需求</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系统需输出结构化的多周训练处方，包含以下要素：</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处方基本信息：处方ID、人员信息、生成时间、训练周期、核心目标。</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主攻素质列表：基于体能短板和训练目标确定的主攻体能素质。</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禁做动作清单：含动作名称、风险等级、冲突原因、关联伤病。</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周计划数组：每周含阶段（适应/提高/稳定）、训练日列表、周总负荷、增幅。</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日计划详情：每日含星期、聚焦素质、动作列表（含组数、次数、重量、1RM百分比）、时长、负荷。</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约束检查结果：是否通过、违反项明细。</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JitRL元信息：缓冲区大小、平均奖励、探索/利用次数。</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训练建议：针对体能短板、伤病、营养的综合建议。</w:t>
      </w:r>
    </w:p>
    <w:p>
      <w:pPr>
        <w:pStyle w:val="3"/>
        <w:spacing w:after="120" w:before="240"/>
      </w:pPr>
      <w:r>
        <w:rPr>
          <w:rFonts w:ascii="微软雅黑" w:cs="微软雅黑" w:eastAsia="微软雅黑" w:hAnsi="微软雅黑"/>
          <w:b/>
          <w:bCs/>
          <w:color w:val="2C5F8D"/>
          <w:sz w:val="26"/>
          <w:szCs w:val="26"/>
        </w:rPr>
        <w:t xml:space="preserve">2.1.4 持续学习需求</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系统需支持JitRL无梯度持续强化学习，具体需求包括：</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经验回放：从历史训练执行记录批量构建初始经验缓冲区，支持基于人员画像相似度的top-k检索。</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奖励计算：基于5维加权（完成率30%+无疼痛25%+疲劳适中15%+约束满足20%+体能进步10%）计算奖励分。</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策略改进：检索高质量历史经验作为LLM in-context示例，无需更新模型权重即可改进策略。</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探索利用：ε-greedy策略，以ε概率随机探索新策略，1-ε概率利用最优经验。</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自我反思：基于奖励分生成反思总结，指导后续处方优化。</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经验持久化：经验缓冲区持久化到JSON文件，支持跨会话积累。</w:t>
      </w:r>
    </w:p>
    <w:p>
      <w:pPr>
        <w:pStyle w:val="2"/>
        <w:spacing w:after="120" w:before="240"/>
      </w:pPr>
      <w:r>
        <w:rPr>
          <w:rFonts w:ascii="微软雅黑" w:cs="微软雅黑" w:eastAsia="微软雅黑" w:hAnsi="微软雅黑"/>
          <w:b/>
          <w:bCs/>
          <w:color w:val="2C5F8D"/>
          <w:sz w:val="30"/>
          <w:szCs w:val="30"/>
        </w:rPr>
        <w:t xml:space="preserve">2.2 非功能需求</w:t>
      </w:r>
    </w:p>
    <w:tbl>
      <w:tblPr>
        <w:tblW w:type="pct" w:w="100%"/>
        <w:tblBorders>
          <w:top w:val="single" w:color="808080" w:sz="1"/>
          <w:left w:val="single" w:color="808080" w:sz="1"/>
          <w:bottom w:val="single" w:color="808080" w:sz="1"/>
          <w:right w:val="single" w:color="808080" w:sz="1"/>
          <w:insideH w:val="single" w:color="808080" w:sz="1"/>
          <w:insideV w:val="single" w:color="808080" w:sz="1"/>
        </w:tblBorders>
      </w:tblPr>
      <w:tblGrid>
        <w:gridCol w:w="100"/>
        <w:gridCol w:w="100"/>
        <w:gridCol w:w="100"/>
      </w:tblGrid>
      <w:tr>
        <w:trPr>
          <w:tblHeader/>
        </w:trPr>
        <w:tc>
          <w:tcPr>
            <w:tcW w:type="pct" w:w="1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需求类别</w:t>
            </w:r>
          </w:p>
        </w:tc>
        <w:tc>
          <w:tcPr>
            <w:tcW w:type="pct" w:w="2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需求项</w:t>
            </w:r>
          </w:p>
        </w:tc>
        <w:tc>
          <w:tcPr>
            <w:tcW w:type="pct" w:w="60%"/>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指标要求</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性能</w:t>
            </w:r>
          </w:p>
        </w:tc>
        <w:tc>
          <w:tcPr>
            <w:tcW w:type="pct" w:w="2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单次处方生成耗时</w:t>
            </w:r>
          </w:p>
        </w:tc>
        <w:tc>
          <w:tcPr>
            <w:tcW w:type="pct" w:w="6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≤2秒（规则模式）/ ≤10秒（LLM模式）</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性能</w:t>
            </w:r>
          </w:p>
        </w:tc>
        <w:tc>
          <w:tcPr>
            <w:tcW w:type="pct" w:w="2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经验检索延迟</w:t>
            </w:r>
          </w:p>
        </w:tc>
        <w:tc>
          <w:tcPr>
            <w:tcW w:type="pct" w:w="6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≤100毫秒（500条经验以内）</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可用性</w:t>
            </w:r>
          </w:p>
        </w:tc>
        <w:tc>
          <w:tcPr>
            <w:tcW w:type="pct" w:w="2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LLM不可用时</w:t>
            </w:r>
          </w:p>
        </w:tc>
        <w:tc>
          <w:tcPr>
            <w:tcW w:type="pct" w:w="6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自动降级到规则引擎，保证基础处方生成</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可用性</w:t>
            </w:r>
          </w:p>
        </w:tc>
        <w:tc>
          <w:tcPr>
            <w:tcW w:type="pct" w:w="2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Neo4j不可用时</w:t>
            </w:r>
          </w:p>
        </w:tc>
        <w:tc>
          <w:tcPr>
            <w:tcW w:type="pct" w:w="6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自动降级到内置知识库（34个动作）</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可扩展性</w:t>
            </w:r>
          </w:p>
        </w:tc>
        <w:tc>
          <w:tcPr>
            <w:tcW w:type="pct" w:w="2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动作库扩展</w:t>
            </w:r>
          </w:p>
        </w:tc>
        <w:tc>
          <w:tcPr>
            <w:tcW w:type="pct" w:w="6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支持通过Neo4j或JSON配置新增动作</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可扩展性</w:t>
            </w:r>
          </w:p>
        </w:tc>
        <w:tc>
          <w:tcPr>
            <w:tcW w:type="pct" w:w="2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约束阈值调整</w:t>
            </w:r>
          </w:p>
        </w:tc>
        <w:tc>
          <w:tcPr>
            <w:tcW w:type="pct" w:w="6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全部通过环境变量配置，无需改代码</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安全性</w:t>
            </w:r>
          </w:p>
        </w:tc>
        <w:tc>
          <w:tcPr>
            <w:tcW w:type="pct" w:w="2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伤病风控</w:t>
            </w:r>
          </w:p>
        </w:tc>
        <w:tc>
          <w:tcPr>
            <w:tcW w:type="pct" w:w="6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P1级强约束，任何情况不可跳过</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安全性</w:t>
            </w:r>
          </w:p>
        </w:tc>
        <w:tc>
          <w:tcPr>
            <w:tcW w:type="pct" w:w="2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负荷控制</w:t>
            </w:r>
          </w:p>
        </w:tc>
        <w:tc>
          <w:tcPr>
            <w:tcW w:type="pct" w:w="6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P6级硬约束，超限自动裁剪</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可观测性</w:t>
            </w:r>
          </w:p>
        </w:tc>
        <w:tc>
          <w:tcPr>
            <w:tcW w:type="pct" w:w="2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日志</w:t>
            </w:r>
          </w:p>
        </w:tc>
        <w:tc>
          <w:tcPr>
            <w:tcW w:type="pct" w:w="6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全链路日志，含每级约束执行结果</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可观测性</w:t>
            </w:r>
          </w:p>
        </w:tc>
        <w:tc>
          <w:tcPr>
            <w:tcW w:type="pct" w:w="2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元信息</w:t>
            </w:r>
          </w:p>
        </w:tc>
        <w:tc>
          <w:tcPr>
            <w:tcW w:type="pct" w:w="6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处方输出含JitRL元信息与约束检查明细</w:t>
            </w:r>
          </w:p>
        </w:tc>
      </w:tr>
    </w:tbl>
    <w:p>
      <w:pPr>
        <w:spacing w:after="60" w:before="60"/>
      </w:pPr>
      <w:r>
        <w:t xml:space="preserve"/>
      </w:r>
    </w:p>
    <w:p>
      <w:r>
        <w:br w:type="page"/>
      </w:r>
    </w:p>
    <w:p>
      <w:pPr>
        <w:pStyle w:val="1"/>
        <w:spacing w:after="120" w:before="240"/>
      </w:pPr>
      <w:r>
        <w:rPr>
          <w:rFonts w:ascii="微软雅黑" w:cs="微软雅黑" w:eastAsia="微软雅黑" w:hAnsi="微软雅黑"/>
          <w:b/>
          <w:bCs/>
          <w:color w:val="2C5F8D"/>
          <w:sz w:val="36"/>
          <w:szCs w:val="36"/>
        </w:rPr>
        <w:t xml:space="preserve">第3章 解决方案概述</w:t>
      </w:r>
    </w:p>
    <w:p>
      <w:pPr>
        <w:pStyle w:val="2"/>
        <w:spacing w:after="120" w:before="240"/>
      </w:pPr>
      <w:r>
        <w:rPr>
          <w:rFonts w:ascii="微软雅黑" w:cs="微软雅黑" w:eastAsia="微软雅黑" w:hAnsi="微软雅黑"/>
          <w:b/>
          <w:bCs/>
          <w:color w:val="2C5F8D"/>
          <w:sz w:val="30"/>
          <w:szCs w:val="30"/>
        </w:rPr>
        <w:t xml:space="preserve">3.1 总体方案</w:t>
      </w:r>
    </w:p>
    <w:p>
      <w:pPr>
        <w:spacing w:after="60" w:before="60" w:line="360"/>
        <w:ind w:firstLine="431"/>
        <w:jc w:val="both"/>
      </w:pPr>
      <w:r>
        <w:rPr>
          <w:rFonts w:ascii="微软雅黑" w:cs="微软雅黑" w:eastAsia="微软雅黑" w:hAnsi="微软雅黑"/>
          <w:b w:val="false"/>
          <w:bCs w:val="false"/>
          <w:color w:val="000000"/>
          <w:sz w:val="22"/>
          <w:szCs w:val="22"/>
        </w:rPr>
        <w:t xml:space="preserve">本系统采用分层架构设计，从下到上依次为：知识层、LLM层、模块层、RL层、编排层、接口层。各层职责清晰、松耦合，支持独立演进和替换。系统通过Agent编排器串联六级约束优先级与JitRL强化学习，实现从输入到输出的完整处方生成流水线。</w:t>
      </w:r>
    </w:p>
    <w:p>
      <w:pPr>
        <w:spacing w:after="120" w:before="120"/>
        <w:jc w:val="center"/>
      </w:pPr>
      <w:r>
        <w:drawing>
          <wp:inline distT="0" distB="0" distL="0" distR="0">
            <wp:extent cx="55245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524500" cy="3810000"/>
                    </a:xfrm>
                    <a:prstGeom prst="rect">
                      <a:avLst/>
                    </a:prstGeom>
                  </pic:spPr>
                </pic:pic>
              </a:graphicData>
            </a:graphic>
          </wp:inline>
        </w:drawing>
      </w:r>
    </w:p>
    <w:p>
      <w:pPr>
        <w:spacing w:after="200" w:before="40"/>
        <w:jc w:val="center"/>
      </w:pPr>
      <w:r>
        <w:rPr>
          <w:rFonts w:ascii="微软雅黑" w:cs="微软雅黑" w:eastAsia="微软雅黑" w:hAnsi="微软雅黑"/>
          <w:i/>
          <w:iCs/>
          <w:color w:val="808080"/>
          <w:sz w:val="20"/>
          <w:szCs w:val="20"/>
        </w:rPr>
        <w:t xml:space="preserve">图3-1 系统总体架构图</w:t>
      </w:r>
    </w:p>
    <w:p>
      <w:pPr>
        <w:pStyle w:val="2"/>
        <w:spacing w:after="120" w:before="240"/>
      </w:pPr>
      <w:r>
        <w:rPr>
          <w:rFonts w:ascii="微软雅黑" w:cs="微软雅黑" w:eastAsia="微软雅黑" w:hAnsi="微软雅黑"/>
          <w:b/>
          <w:bCs/>
          <w:color w:val="2C5F8D"/>
          <w:sz w:val="30"/>
          <w:szCs w:val="30"/>
        </w:rPr>
        <w:t xml:space="preserve">3.2 技术选型</w:t>
      </w:r>
    </w:p>
    <w:tbl>
      <w:tblPr>
        <w:tblW w:type="pct" w:w="100%"/>
        <w:tblBorders>
          <w:top w:val="single" w:color="808080" w:sz="1"/>
          <w:left w:val="single" w:color="808080" w:sz="1"/>
          <w:bottom w:val="single" w:color="808080" w:sz="1"/>
          <w:right w:val="single" w:color="808080" w:sz="1"/>
          <w:insideH w:val="single" w:color="808080" w:sz="1"/>
          <w:insideV w:val="single" w:color="808080" w:sz="1"/>
        </w:tblBorders>
      </w:tblPr>
      <w:tblGrid>
        <w:gridCol w:w="100"/>
        <w:gridCol w:w="100"/>
        <w:gridCol w:w="100"/>
      </w:tblGrid>
      <w:tr>
        <w:trPr>
          <w:tblHeader/>
        </w:trPr>
        <w:tc>
          <w:tcPr>
            <w:tcW w:type="pct" w:w="1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技术领域</w:t>
            </w:r>
          </w:p>
        </w:tc>
        <w:tc>
          <w:tcPr>
            <w:tcW w:type="pct" w:w="20%"/>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选型</w:t>
            </w:r>
          </w:p>
        </w:tc>
        <w:tc>
          <w:tcPr>
            <w:tcW w:type="pct" w:w="65%"/>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选型理由</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开发语言</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Python 3.12</w:t>
            </w:r>
          </w:p>
        </w:tc>
        <w:tc>
          <w:tcPr>
            <w:tcW w:type="pct" w:w="6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生态丰富、AI/ML库支持完善、开发效率高</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LLM后端</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Ollama + vLLM</w:t>
            </w:r>
          </w:p>
        </w:tc>
        <w:tc>
          <w:tcPr>
            <w:tcW w:type="pct" w:w="6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Ollama适合本地开发，vLLM适合生产高吞吐</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知识图谱</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Neo4j 5.x</w:t>
            </w:r>
          </w:p>
        </w:tc>
        <w:tc>
          <w:tcPr>
            <w:tcW w:type="pct" w:w="6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成熟的图数据库，支持标签隔离检索</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Web框架</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FastAPI</w:t>
            </w:r>
          </w:p>
        </w:tc>
        <w:tc>
          <w:tcPr>
            <w:tcW w:type="pct" w:w="6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异步高性能、自动生成OpenAPI文档</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数据校验</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Pydantic 2.x</w:t>
            </w:r>
          </w:p>
        </w:tc>
        <w:tc>
          <w:tcPr>
            <w:tcW w:type="pct" w:w="6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类型安全、性能优异、与FastAPI深度集成</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CLI框架</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argparse + rich</w:t>
            </w:r>
          </w:p>
        </w:tc>
        <w:tc>
          <w:tcPr>
            <w:tcW w:type="pct" w:w="6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标准库+美观终端输出</w:t>
            </w:r>
          </w:p>
        </w:tc>
      </w:tr>
      <w:tr>
        <w:tc>
          <w:tcPr>
            <w:tcW w:type="pct" w:w="15%"/>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HTTP客户端</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httpx</w:t>
            </w:r>
          </w:p>
        </w:tc>
        <w:tc>
          <w:tcPr>
            <w:tcW w:type="pct" w:w="65%"/>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支持异步、API设计现代</w:t>
            </w:r>
          </w:p>
        </w:tc>
      </w:tr>
      <w:tr>
        <w:tc>
          <w:tcPr>
            <w:tcW w:type="pct" w:w="15%"/>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强化学习</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自研JitRL</w:t>
            </w:r>
          </w:p>
        </w:tc>
        <w:tc>
          <w:tcPr>
            <w:tcW w:type="pct" w:w="65%"/>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无梯度更新，通过经验回放实现策略改进</w:t>
            </w:r>
          </w:p>
        </w:tc>
      </w:tr>
    </w:tbl>
    <w:p>
      <w:pPr>
        <w:spacing w:after="60" w:before="60"/>
      </w:pPr>
      <w:r>
        <w:t xml:space="preserve"/>
      </w:r>
    </w:p>
    <w:p>
      <w:pPr>
        <w:pStyle w:val="2"/>
        <w:spacing w:after="120" w:before="240"/>
      </w:pPr>
      <w:r>
        <w:rPr>
          <w:rFonts w:ascii="微软雅黑" w:cs="微软雅黑" w:eastAsia="微软雅黑" w:hAnsi="微软雅黑"/>
          <w:b/>
          <w:bCs/>
          <w:color w:val="2C5F8D"/>
          <w:sz w:val="30"/>
          <w:szCs w:val="30"/>
        </w:rPr>
        <w:t xml:space="preserve">3.3 核心创新点</w:t>
      </w:r>
    </w:p>
    <w:p>
      <w:pPr>
        <w:pStyle w:val="3"/>
        <w:spacing w:after="120" w:before="240"/>
      </w:pPr>
      <w:r>
        <w:rPr>
          <w:rFonts w:ascii="微软雅黑" w:cs="微软雅黑" w:eastAsia="微软雅黑" w:hAnsi="微软雅黑"/>
          <w:b/>
          <w:bCs/>
          <w:color w:val="2C5F8D"/>
          <w:sz w:val="26"/>
          <w:szCs w:val="26"/>
        </w:rPr>
        <w:t xml:space="preserve">3.3.1 JitRL无梯度持续强化学习</w:t>
      </w:r>
    </w:p>
    <w:p>
      <w:pPr>
        <w:spacing w:after="60" w:before="60" w:line="360"/>
        <w:ind w:firstLine="431"/>
        <w:jc w:val="both"/>
      </w:pPr>
      <w:r>
        <w:rPr>
          <w:rFonts w:ascii="微软雅黑" w:cs="微软雅黑" w:eastAsia="微软雅黑" w:hAnsi="微软雅黑"/>
          <w:b w:val="false"/>
          <w:bCs w:val="false"/>
          <w:color w:val="000000"/>
          <w:sz w:val="22"/>
          <w:szCs w:val="22"/>
        </w:rPr>
        <w:t xml:space="preserve">传统强化学习需要更新模型权重，对LLM而言成本极高且难以实现。本系统创新性地采用JitRL技术，通过经验回放缓冲区+奖励模型+in-context示例检索的方式，在不更新LLM权重的前提下实现策略的持续改进。具体机制如下：</w:t>
      </w:r>
    </w:p>
    <w:p>
      <w:pPr>
        <w:spacing w:after="120" w:before="120"/>
        <w:jc w:val="center"/>
      </w:pPr>
      <w:r>
        <w:drawing>
          <wp:inline distT="0" distB="0" distL="0" distR="0">
            <wp:extent cx="5524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524500" cy="3619500"/>
                    </a:xfrm>
                    <a:prstGeom prst="rect">
                      <a:avLst/>
                    </a:prstGeom>
                  </pic:spPr>
                </pic:pic>
              </a:graphicData>
            </a:graphic>
          </wp:inline>
        </w:drawing>
      </w:r>
    </w:p>
    <w:p>
      <w:pPr>
        <w:spacing w:after="200" w:before="40"/>
        <w:jc w:val="center"/>
      </w:pPr>
      <w:r>
        <w:rPr>
          <w:rFonts w:ascii="微软雅黑" w:cs="微软雅黑" w:eastAsia="微软雅黑" w:hAnsi="微软雅黑"/>
          <w:i/>
          <w:iCs/>
          <w:color w:val="808080"/>
          <w:sz w:val="20"/>
          <w:szCs w:val="20"/>
        </w:rPr>
        <w:t xml:space="preserve">图3-2 JitRL持续强化学习流程</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经验存储：每次训练执行后，系统将(人员画像, 处方摘要, 执行结果, 奖励分, 反思)存入经验缓冲区。</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经验检索：生成新处方时，系统基于人员画像相似度检索top-k高质量历史经验。</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策略注入：将检索到的经验格式化为in-context示例，注入LLM的prompt，引导其参考历史成功策略。</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奖励驱动：5维奖励模型量化处方质量，高奖励经验被优先检索，低奖励经验被自然淘汰。</w:t>
      </w:r>
    </w:p>
    <w:p>
      <w:pPr>
        <w:pStyle w:val="3"/>
        <w:spacing w:after="120" w:before="240"/>
      </w:pPr>
      <w:r>
        <w:rPr>
          <w:rFonts w:ascii="微软雅黑" w:cs="微软雅黑" w:eastAsia="微软雅黑" w:hAnsi="微软雅黑"/>
          <w:b/>
          <w:bCs/>
          <w:color w:val="2C5F8D"/>
          <w:sz w:val="26"/>
          <w:szCs w:val="26"/>
        </w:rPr>
        <w:t xml:space="preserve">3.3.2 六级约束优先级体系</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将运动训练的科学约束抽象为六级优先级，从P1（最高）到P6（最低）依次执行。每一级约束都有明确的科学依据和量化阈值，确保处方严格遵循运动科学原理。约束之间通过Agent编排器串联，前级约束的输出作为后级约束的输入，形成完整的约束执行链。</w:t>
      </w:r>
    </w:p>
    <w:p>
      <w:pPr>
        <w:spacing w:after="120" w:before="120"/>
        <w:jc w:val="center"/>
      </w:pPr>
      <w:r>
        <w:drawing>
          <wp:inline distT="0" distB="0" distL="0" distR="0">
            <wp:extent cx="55245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524500" cy="3810000"/>
                    </a:xfrm>
                    <a:prstGeom prst="rect">
                      <a:avLst/>
                    </a:prstGeom>
                  </pic:spPr>
                </pic:pic>
              </a:graphicData>
            </a:graphic>
          </wp:inline>
        </w:drawing>
      </w:r>
    </w:p>
    <w:p>
      <w:pPr>
        <w:spacing w:after="200" w:before="40"/>
        <w:jc w:val="center"/>
      </w:pPr>
      <w:r>
        <w:rPr>
          <w:rFonts w:ascii="微软雅黑" w:cs="微软雅黑" w:eastAsia="微软雅黑" w:hAnsi="微软雅黑"/>
          <w:i/>
          <w:iCs/>
          <w:color w:val="808080"/>
          <w:sz w:val="20"/>
          <w:szCs w:val="20"/>
        </w:rPr>
        <w:t xml:space="preserve">图3-3 六级约束优先级执行流程</w:t>
      </w:r>
    </w:p>
    <w:p>
      <w:pPr>
        <w:pStyle w:val="3"/>
        <w:spacing w:after="120" w:before="240"/>
      </w:pPr>
      <w:r>
        <w:rPr>
          <w:rFonts w:ascii="微软雅黑" w:cs="微软雅黑" w:eastAsia="微软雅黑" w:hAnsi="微软雅黑"/>
          <w:b/>
          <w:bCs/>
          <w:color w:val="2C5F8D"/>
          <w:sz w:val="26"/>
          <w:szCs w:val="26"/>
        </w:rPr>
        <w:t xml:space="preserve">3.3.3 Neo4j标签隔离图谱检索</w:t>
      </w:r>
    </w:p>
    <w:p>
      <w:pPr>
        <w:spacing w:after="60" w:before="60" w:line="360"/>
        <w:ind w:firstLine="431"/>
        <w:jc w:val="both"/>
      </w:pPr>
      <w:r>
        <w:rPr>
          <w:rFonts w:ascii="微软雅黑" w:cs="微软雅黑" w:eastAsia="微软雅黑" w:hAnsi="微软雅黑"/>
          <w:b w:val="false"/>
          <w:bCs w:val="false"/>
          <w:color w:val="000000"/>
          <w:sz w:val="22"/>
          <w:szCs w:val="22"/>
        </w:rPr>
        <w:t xml:space="preserve">动作风控过滤器基于Neo4j知识图谱的标签隔离机制实现精准检索。图谱中的节点通过:Action、:Injury、:MuscleGroup、:Equipment等标签分类，查询时通过标签过滤快速定位目标节点，避免全图遍历。当Neo4j不可用时，系统自动回退到内置的34个动作知识库，保证核心功能可用。</w:t>
      </w:r>
    </w:p>
    <w:p>
      <w:r>
        <w:br w:type="page"/>
      </w:r>
    </w:p>
    <w:p>
      <w:pPr>
        <w:pStyle w:val="1"/>
        <w:spacing w:after="120" w:before="240"/>
      </w:pPr>
      <w:r>
        <w:rPr>
          <w:rFonts w:ascii="微软雅黑" w:cs="微软雅黑" w:eastAsia="微软雅黑" w:hAnsi="微软雅黑"/>
          <w:b/>
          <w:bCs/>
          <w:color w:val="2C5F8D"/>
          <w:sz w:val="36"/>
          <w:szCs w:val="36"/>
        </w:rPr>
        <w:t xml:space="preserve">第4章 系统能力</w:t>
      </w:r>
    </w:p>
    <w:p>
      <w:pPr>
        <w:pStyle w:val="2"/>
        <w:spacing w:after="120" w:before="240"/>
      </w:pPr>
      <w:r>
        <w:rPr>
          <w:rFonts w:ascii="微软雅黑" w:cs="微软雅黑" w:eastAsia="微软雅黑" w:hAnsi="微软雅黑"/>
          <w:b/>
          <w:bCs/>
          <w:color w:val="2C5F8D"/>
          <w:sz w:val="30"/>
          <w:szCs w:val="30"/>
        </w:rPr>
        <w:t xml:space="preserve">4.1 处方生成能力</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系统能够基于用户提供的7类输入参数，自动生成结构化的多周训练处方。以示例输入（17岁男性、踝关节隐痛、下肢爆发力与核心稳定性短板）为例，系统输出如下：</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4周周期计划：适应期(第1周)→提高期(第2-3周)→稳定期(第4周)，负荷从249.6递增至332.8，每周增幅10%。</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交错排列：周一(下肢)、周二(核心)、周四(下肢)、周五(核心)，周三固定休息，确保肌群间隔≥48小时。</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禁做动作：12个踝关节相关动作被禁做（负重深蹲、跳箱、立定跳远、弓步蹲等），并推荐安全替代动作。</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1RM负重换算：哑铃罗马尼亚硬拉 适应期25.8kg(60%1RM)→提高期32.2kg(75%1RM)→稳定期30.1kg(70%1RM)。</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约束检查：全部通过，时长≤90分钟，增幅≤10%。</w:t>
      </w:r>
    </w:p>
    <w:p>
      <w:pPr>
        <w:pStyle w:val="2"/>
        <w:spacing w:after="120" w:before="240"/>
      </w:pPr>
      <w:r>
        <w:rPr>
          <w:rFonts w:ascii="微软雅黑" w:cs="微软雅黑" w:eastAsia="微软雅黑" w:hAnsi="微软雅黑"/>
          <w:b/>
          <w:bCs/>
          <w:color w:val="2C5F8D"/>
          <w:sz w:val="30"/>
          <w:szCs w:val="30"/>
        </w:rPr>
        <w:t xml:space="preserve">4.2 持续学习能力</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通过JitRL机制实现持续学习闭环。初始状态下，系统从历史训练记录构建1条经验（奖励0.875）。当用户记录新的执行结果（完成率0.95、无疼痛、轻微疲劳）后，系统计算奖励0.935，存入缓冲区。此时缓冲区增长至2条，平均奖励从0.875提升至0.905，证明系统具备从执行反馈中持续优化的能力。</w:t>
      </w:r>
    </w:p>
    <w:p>
      <w:pPr>
        <w:pStyle w:val="2"/>
        <w:spacing w:after="120" w:before="240"/>
      </w:pPr>
      <w:r>
        <w:rPr>
          <w:rFonts w:ascii="微软雅黑" w:cs="微软雅黑" w:eastAsia="微软雅黑" w:hAnsi="微软雅黑"/>
          <w:b/>
          <w:bCs/>
          <w:color w:val="2C5F8D"/>
          <w:sz w:val="30"/>
          <w:szCs w:val="30"/>
        </w:rPr>
        <w:t xml:space="preserve">4.3 风险管控能力</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通过P1级动作风控过滤器实现严格的风险管控。以踝关节持续性隐痛为例，系统识别出12个禁做动作，涵盖高冲击（跳箱、立定跳远、波比跳）、中冲击（弓步蹲、高抬腿、跳绳）、低冲击（单腿站立）等各级别动作，并基于风险标签输出详细的冲突原因，包括目标肌群、冲击等级、关联伤病等信息。</w:t>
      </w:r>
    </w:p>
    <w:p>
      <w:pPr>
        <w:pStyle w:val="2"/>
        <w:spacing w:after="120" w:before="240"/>
      </w:pPr>
      <w:r>
        <w:rPr>
          <w:rFonts w:ascii="微软雅黑" w:cs="微软雅黑" w:eastAsia="微软雅黑" w:hAnsi="微软雅黑"/>
          <w:b/>
          <w:bCs/>
          <w:color w:val="2C5F8D"/>
          <w:sz w:val="30"/>
          <w:szCs w:val="30"/>
        </w:rPr>
        <w:t xml:space="preserve">4.4 多端接入能力</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系统提供CLI和FastAPI双入口，满足不同使用场景：</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CLI模式：支持generate（文件生成）、serve（启动API）、interactive（交互式）三种子命令，适合开发调试和批量处理。</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FastAPI模式：提供4个RESTful接口（处方生成、执行记录、经验查询、健康检查），自动生成Swagger文档，适合系统集成。</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双LLM后端：通过环境变量JITRL_LLM_BACKEND切换Ollama和vLLM，无需修改代码。</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双知识库：通过NEO4J_ENABLED控制是否使用Neo4j，未启用时自动回退到内置知识库。</w:t>
      </w:r>
    </w:p>
    <w:p>
      <w:r>
        <w:br w:type="page"/>
      </w:r>
    </w:p>
    <w:p>
      <w:pPr>
        <w:pStyle w:val="1"/>
        <w:spacing w:after="120" w:before="240"/>
      </w:pPr>
      <w:r>
        <w:rPr>
          <w:rFonts w:ascii="微软雅黑" w:cs="微软雅黑" w:eastAsia="微软雅黑" w:hAnsi="微软雅黑"/>
          <w:b/>
          <w:bCs/>
          <w:color w:val="2C5F8D"/>
          <w:sz w:val="36"/>
          <w:szCs w:val="36"/>
        </w:rPr>
        <w:t xml:space="preserve">第5章 部署方案</w:t>
      </w:r>
    </w:p>
    <w:p>
      <w:pPr>
        <w:pStyle w:val="2"/>
        <w:spacing w:after="120" w:before="240"/>
      </w:pPr>
      <w:r>
        <w:rPr>
          <w:rFonts w:ascii="微软雅黑" w:cs="微软雅黑" w:eastAsia="微软雅黑" w:hAnsi="微软雅黑"/>
          <w:b/>
          <w:bCs/>
          <w:color w:val="2C5F8D"/>
          <w:sz w:val="30"/>
          <w:szCs w:val="30"/>
        </w:rPr>
        <w:t xml:space="preserve">5.1 部署架构</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系统支持单机部署和分布式部署两种模式。单机部署适合开发调试和小规模应用，所有组件运行在同一机器上。分布式部署适合生产环境，LLM服务、Neo4j、应用服务分离部署，通过内网通信。</w:t>
      </w:r>
    </w:p>
    <w:p>
      <w:pPr>
        <w:spacing w:after="120" w:before="120"/>
        <w:jc w:val="center"/>
      </w:pPr>
      <w:r>
        <w:drawing>
          <wp:inline distT="0" distB="0" distL="0" distR="0">
            <wp:extent cx="5524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524500" cy="3429000"/>
                    </a:xfrm>
                    <a:prstGeom prst="rect">
                      <a:avLst/>
                    </a:prstGeom>
                  </pic:spPr>
                </pic:pic>
              </a:graphicData>
            </a:graphic>
          </wp:inline>
        </w:drawing>
      </w:r>
    </w:p>
    <w:p>
      <w:pPr>
        <w:spacing w:after="200" w:before="40"/>
        <w:jc w:val="center"/>
      </w:pPr>
      <w:r>
        <w:rPr>
          <w:rFonts w:ascii="微软雅黑" w:cs="微软雅黑" w:eastAsia="微软雅黑" w:hAnsi="微软雅黑"/>
          <w:i/>
          <w:iCs/>
          <w:color w:val="808080"/>
          <w:sz w:val="20"/>
          <w:szCs w:val="20"/>
        </w:rPr>
        <w:t xml:space="preserve">图5-1 部署架构图</w:t>
      </w:r>
    </w:p>
    <w:p>
      <w:pPr>
        <w:pStyle w:val="2"/>
        <w:spacing w:after="120" w:before="240"/>
      </w:pPr>
      <w:r>
        <w:rPr>
          <w:rFonts w:ascii="微软雅黑" w:cs="微软雅黑" w:eastAsia="微软雅黑" w:hAnsi="微软雅黑"/>
          <w:b/>
          <w:bCs/>
          <w:color w:val="2C5F8D"/>
          <w:sz w:val="30"/>
          <w:szCs w:val="30"/>
        </w:rPr>
        <w:t xml:space="preserve">5.2 环境要求</w:t>
      </w:r>
    </w:p>
    <w:tbl>
      <w:tblPr>
        <w:tblW w:type="pct" w:w="100%"/>
        <w:tblBorders>
          <w:top w:val="single" w:color="808080" w:sz="1"/>
          <w:left w:val="single" w:color="808080" w:sz="1"/>
          <w:bottom w:val="single" w:color="808080" w:sz="1"/>
          <w:right w:val="single" w:color="808080" w:sz="1"/>
          <w:insideH w:val="single" w:color="808080" w:sz="1"/>
          <w:insideV w:val="single" w:color="808080" w:sz="1"/>
        </w:tblBorders>
      </w:tblPr>
      <w:tblGrid>
        <w:gridCol w:w="100"/>
        <w:gridCol w:w="100"/>
        <w:gridCol w:w="100"/>
        <w:gridCol w:w="100"/>
      </w:tblGrid>
      <w:tr>
        <w:trPr>
          <w:tblHeader/>
        </w:trPr>
        <w:tc>
          <w:tcPr>
            <w:tcW w:type="pct" w:w="12%"/>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组件</w:t>
            </w:r>
          </w:p>
        </w:tc>
        <w:tc>
          <w:tcPr>
            <w:tcW w:type="pct" w:w="18%"/>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最低配置</w:t>
            </w:r>
          </w:p>
        </w:tc>
        <w:tc>
          <w:tcPr>
            <w:tcW w:type="pct" w:w="20%"/>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推荐配置</w:t>
            </w:r>
          </w:p>
        </w:tc>
        <w:tc>
          <w:tcPr>
            <w:tcW w:type="pct" w:w="50%"/>
            <w:shd w:fill="2C5F8D" w:color="2C5F8D" w:val="solid"/>
            <w:tcMar>
              <w:top w:type="dxa" w:w="80"/>
              <w:left w:type="dxa" w:w="120"/>
              <w:bottom w:type="dxa" w:w="80"/>
              <w:right w:type="dxa" w:w="120"/>
            </w:tcMar>
          </w:tcPr>
          <w:p>
            <w:pPr>
              <w:jc w:val="center"/>
            </w:pPr>
            <w:r>
              <w:rPr>
                <w:rFonts w:ascii="微软雅黑" w:cs="微软雅黑" w:eastAsia="微软雅黑" w:hAnsi="微软雅黑"/>
                <w:b/>
                <w:bCs/>
                <w:color w:val="FFFFFF"/>
                <w:sz w:val="20"/>
                <w:szCs w:val="20"/>
              </w:rPr>
              <w:t xml:space="preserve">说明</w:t>
            </w:r>
          </w:p>
        </w:tc>
      </w:tr>
      <w:tr>
        <w:tc>
          <w:tcPr>
            <w:tcW w:type="pct" w:w="12%"/>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Python</w:t>
            </w:r>
          </w:p>
        </w:tc>
        <w:tc>
          <w:tcPr>
            <w:tcW w:type="pct" w:w="18%"/>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3.10+</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3.12</w:t>
            </w:r>
          </w:p>
        </w:tc>
        <w:tc>
          <w:tcPr>
            <w:tcW w:type="pct" w:w="5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需支持dataclass、typing等特性</w:t>
            </w:r>
          </w:p>
        </w:tc>
      </w:tr>
      <w:tr>
        <w:tc>
          <w:tcPr>
            <w:tcW w:type="pct" w:w="12%"/>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内存</w:t>
            </w:r>
          </w:p>
        </w:tc>
        <w:tc>
          <w:tcPr>
            <w:tcW w:type="pct" w:w="18%"/>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2GB</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4GB+</w:t>
            </w:r>
          </w:p>
        </w:tc>
        <w:tc>
          <w:tcPr>
            <w:tcW w:type="pct" w:w="5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LLM推理与经验缓冲区占用</w:t>
            </w:r>
          </w:p>
        </w:tc>
      </w:tr>
      <w:tr>
        <w:tc>
          <w:tcPr>
            <w:tcW w:type="pct" w:w="12%"/>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磁盘</w:t>
            </w:r>
          </w:p>
        </w:tc>
        <w:tc>
          <w:tcPr>
            <w:tcW w:type="pct" w:w="18%"/>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500MB</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2GB+</w:t>
            </w:r>
          </w:p>
        </w:tc>
        <w:tc>
          <w:tcPr>
            <w:tcW w:type="pct" w:w="5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代码+依赖+经验存储</w:t>
            </w:r>
          </w:p>
        </w:tc>
      </w:tr>
      <w:tr>
        <w:tc>
          <w:tcPr>
            <w:tcW w:type="pct" w:w="12%"/>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Ollama</w:t>
            </w:r>
          </w:p>
        </w:tc>
        <w:tc>
          <w:tcPr>
            <w:tcW w:type="pct" w:w="18%"/>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可选</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7B模型</w:t>
            </w:r>
          </w:p>
        </w:tc>
        <w:tc>
          <w:tcPr>
            <w:tcW w:type="pct" w:w="5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本地LLM推理</w:t>
            </w:r>
          </w:p>
        </w:tc>
      </w:tr>
      <w:tr>
        <w:tc>
          <w:tcPr>
            <w:tcW w:type="pct" w:w="12%"/>
            <w:shd w:fill="DEEBF7" w:color="DEEBF7"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vLLM</w:t>
            </w:r>
          </w:p>
        </w:tc>
        <w:tc>
          <w:tcPr>
            <w:tcW w:type="pct" w:w="18%"/>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可选</w:t>
            </w:r>
          </w:p>
        </w:tc>
        <w:tc>
          <w:tcPr>
            <w:tcW w:type="pct" w:w="2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GPU服务器</w:t>
            </w:r>
          </w:p>
        </w:tc>
        <w:tc>
          <w:tcPr>
            <w:tcW w:type="pct" w:w="50%"/>
            <w:shd w:fill="DEEBF7" w:color="DEEBF7"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高吞吐LLM推理</w:t>
            </w:r>
          </w:p>
        </w:tc>
      </w:tr>
      <w:tr>
        <w:tc>
          <w:tcPr>
            <w:tcW w:type="pct" w:w="12%"/>
            <w:shd w:fill="FFFFFF" w:color="FFFFFF" w:val="solid"/>
            <w:tcMar>
              <w:top w:type="dxa" w:w="80"/>
              <w:left w:type="dxa" w:w="120"/>
              <w:bottom w:type="dxa" w:w="80"/>
              <w:right w:type="dxa" w:w="120"/>
            </w:tcMar>
          </w:tcPr>
          <w:p>
            <w:pPr>
              <w:jc w:val="center"/>
            </w:pPr>
            <w:r>
              <w:rPr>
                <w:rFonts w:ascii="微软雅黑" w:cs="微软雅黑" w:eastAsia="微软雅黑" w:hAnsi="微软雅黑"/>
                <w:b w:val="false"/>
                <w:bCs w:val="false"/>
                <w:color w:val="000000"/>
                <w:sz w:val="20"/>
                <w:szCs w:val="20"/>
              </w:rPr>
              <w:t xml:space="preserve">Neo4j</w:t>
            </w:r>
          </w:p>
        </w:tc>
        <w:tc>
          <w:tcPr>
            <w:tcW w:type="pct" w:w="18%"/>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可选</w:t>
            </w:r>
          </w:p>
        </w:tc>
        <w:tc>
          <w:tcPr>
            <w:tcW w:type="pct" w:w="2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5.x社区版</w:t>
            </w:r>
          </w:p>
        </w:tc>
        <w:tc>
          <w:tcPr>
            <w:tcW w:type="pct" w:w="50%"/>
            <w:shd w:fill="FFFFFF" w:color="FFFFFF" w:val="solid"/>
            <w:tcMar>
              <w:top w:type="dxa" w:w="80"/>
              <w:left w:type="dxa" w:w="120"/>
              <w:bottom w:type="dxa" w:w="80"/>
              <w:right w:type="dxa" w:w="120"/>
            </w:tcMar>
          </w:tcPr>
          <w:p>
            <w:pPr>
              <w:jc w:val="left"/>
            </w:pPr>
            <w:r>
              <w:rPr>
                <w:rFonts w:ascii="微软雅黑" w:cs="微软雅黑" w:eastAsia="微软雅黑" w:hAnsi="微软雅黑"/>
                <w:b w:val="false"/>
                <w:bCs w:val="false"/>
                <w:color w:val="000000"/>
                <w:sz w:val="20"/>
                <w:szCs w:val="20"/>
              </w:rPr>
              <w:t xml:space="preserve">动作知识图谱</w:t>
            </w:r>
          </w:p>
        </w:tc>
      </w:tr>
    </w:tbl>
    <w:p>
      <w:pPr>
        <w:spacing w:after="60" w:before="60"/>
      </w:pPr>
      <w:r>
        <w:t xml:space="preserve"/>
      </w:r>
    </w:p>
    <w:p>
      <w:pPr>
        <w:pStyle w:val="2"/>
        <w:spacing w:after="120" w:before="240"/>
      </w:pPr>
      <w:r>
        <w:rPr>
          <w:rFonts w:ascii="微软雅黑" w:cs="微软雅黑" w:eastAsia="微软雅黑" w:hAnsi="微软雅黑"/>
          <w:b/>
          <w:bCs/>
          <w:color w:val="2C5F8D"/>
          <w:sz w:val="30"/>
          <w:szCs w:val="30"/>
        </w:rPr>
        <w:t xml:space="preserve">5.3 快速启动</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系统提供一键启动脚本run.sh，支持以下命令：</w:t>
      </w:r>
    </w:p>
    <w:p>
      <w:pPr>
        <w:shd w:fill="F5F5F5" w:color="F5F5F5" w:val="solid"/>
        <w:spacing w:after="60" w:before="60"/>
      </w:pPr>
      <w:r>
        <w:rPr>
          <w:rFonts w:ascii="Consolas" w:cs="Consolas" w:eastAsia="Consolas" w:hAnsi="Consolas"/>
          <w:color w:val="1F3864"/>
          <w:sz w:val="18"/>
          <w:szCs w:val="18"/>
        </w:rPr>
        <w:t xml:space="preserve"># 一键测试（生成示例处方）
bash run.sh test
# CLI生成处方
bash run.sh generate examples/sample_input.json
# 启动FastAPI服务
bash run.sh serve 8000
# 交互式生成
bash run.sh interactive</w:t>
      </w:r>
    </w:p>
    <w:p>
      <w:pPr>
        <w:spacing w:after="60" w:before="60"/>
      </w:pPr>
      <w:r>
        <w:t xml:space="preserve"/>
      </w:r>
    </w:p>
    <w:p>
      <w:pPr>
        <w:spacing w:after="60" w:before="60" w:line="360"/>
        <w:ind w:firstLine="431"/>
        <w:jc w:val="both"/>
      </w:pPr>
      <w:r>
        <w:rPr>
          <w:rFonts w:ascii="微软雅黑" w:cs="微软雅黑" w:eastAsia="微软雅黑" w:hAnsi="微软雅黑"/>
          <w:b w:val="false"/>
          <w:bCs w:val="false"/>
          <w:color w:val="000000"/>
          <w:sz w:val="22"/>
          <w:szCs w:val="22"/>
        </w:rPr>
        <w:t xml:space="preserve">环境变量配置示例：</w:t>
      </w:r>
    </w:p>
    <w:p>
      <w:pPr>
        <w:shd w:fill="F5F5F5" w:color="F5F5F5" w:val="solid"/>
        <w:spacing w:after="60" w:before="60"/>
      </w:pPr>
      <w:r>
        <w:rPr>
          <w:rFonts w:ascii="Consolas" w:cs="Consolas" w:eastAsia="Consolas" w:hAnsi="Consolas"/>
          <w:color w:val="1F3864"/>
          <w:sz w:val="18"/>
          <w:szCs w:val="18"/>
        </w:rPr>
        <w:t xml:space="preserve"># LLM后端选择
export JITRL_LLM_BACKEND=ollama  # 或 vllm
# Ollama配置
export OLLAMA_BASE_URL=http://localhost:11434
export OLLAMA_MODEL=qwen2.5:7b
# vLLM配置
export VLLM_BASE_URL=http://localhost:8000
export VLLM_MODEL=Qwen/Qwen2.5-7B-Instruct
# Neo4j配置
export NEO4J_ENABLED=true
export NEO4J_URI=bolt://localhost:7687
# 约束阈值
export DAILY_MAX_MINUTES=90
export WEEKLY_LOAD_INCREMENT_CAP=0.10
export MUSCLE_GROUP_INTERVAL_HOURS=48</w:t>
      </w:r>
    </w:p>
    <w:p>
      <w:r>
        <w:br w:type="page"/>
      </w:r>
    </w:p>
    <w:p>
      <w:pPr>
        <w:pStyle w:val="1"/>
        <w:spacing w:after="120" w:before="240"/>
      </w:pPr>
      <w:r>
        <w:rPr>
          <w:rFonts w:ascii="微软雅黑" w:cs="微软雅黑" w:eastAsia="微软雅黑" w:hAnsi="微软雅黑"/>
          <w:b/>
          <w:bCs/>
          <w:color w:val="2C5F8D"/>
          <w:sz w:val="36"/>
          <w:szCs w:val="36"/>
        </w:rPr>
        <w:t xml:space="preserve">第6章 项目收益</w:t>
      </w:r>
    </w:p>
    <w:p>
      <w:pPr>
        <w:pStyle w:val="2"/>
        <w:spacing w:after="120" w:before="240"/>
      </w:pPr>
      <w:r>
        <w:rPr>
          <w:rFonts w:ascii="微软雅黑" w:cs="微软雅黑" w:eastAsia="微软雅黑" w:hAnsi="微软雅黑"/>
          <w:b/>
          <w:bCs/>
          <w:color w:val="2C5F8D"/>
          <w:sz w:val="30"/>
          <w:szCs w:val="30"/>
        </w:rPr>
        <w:t xml:space="preserve">6.1 训练效果提升</w:t>
      </w:r>
    </w:p>
    <w:p>
      <w:pPr>
        <w:spacing w:after="60" w:before="60" w:line="360"/>
        <w:ind w:firstLine="431"/>
        <w:jc w:val="both"/>
      </w:pPr>
      <w:r>
        <w:rPr>
          <w:rFonts w:ascii="微软雅黑" w:cs="微软雅黑" w:eastAsia="微软雅黑" w:hAnsi="微软雅黑"/>
          <w:b w:val="false"/>
          <w:bCs w:val="false"/>
          <w:color w:val="000000"/>
          <w:sz w:val="22"/>
          <w:szCs w:val="22"/>
        </w:rPr>
        <w:t xml:space="preserve">通过六级约束优先级和JitRL持续学习，系统能够生成科学、安全、个性化的训练处方，预期带来以下训练效果提升：</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体能短板针对性补强：主攻素质训练频次是保持素质的1.5倍，确保短板得到充分刺激。</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训练负荷科学渐进：四周周期渐进（适应60%→提高75%→稳定70%）避免负荷突变，降低过度训练风险。</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肌群充分恢复：48小时间隔确保大肌群完全恢复，核心肌群24小时间隔兼顾频率与恢复。</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力量训练精准化：1RM负重换算使力量训练重量与运动员能力匹配，避免过轻无效或过重受伤。</w:t>
      </w:r>
    </w:p>
    <w:p>
      <w:pPr>
        <w:pStyle w:val="2"/>
        <w:spacing w:after="120" w:before="240"/>
      </w:pPr>
      <w:r>
        <w:rPr>
          <w:rFonts w:ascii="微软雅黑" w:cs="微软雅黑" w:eastAsia="微软雅黑" w:hAnsi="微软雅黑"/>
          <w:b/>
          <w:bCs/>
          <w:color w:val="2C5F8D"/>
          <w:sz w:val="30"/>
          <w:szCs w:val="30"/>
        </w:rPr>
        <w:t xml:space="preserve">6.2 安全风险降低</w:t>
      </w:r>
    </w:p>
    <w:p>
      <w:pPr>
        <w:spacing w:after="60" w:before="60" w:line="360"/>
        <w:ind w:firstLine="431"/>
        <w:jc w:val="both"/>
      </w:pPr>
      <w:r>
        <w:rPr>
          <w:rFonts w:ascii="微软雅黑" w:cs="微软雅黑" w:eastAsia="微软雅黑" w:hAnsi="微软雅黑"/>
          <w:b w:val="false"/>
          <w:bCs w:val="false"/>
          <w:color w:val="000000"/>
          <w:sz w:val="22"/>
          <w:szCs w:val="22"/>
        </w:rPr>
        <w:t xml:space="preserve">P1级动作风控过滤器从源头杜绝训练风险，预期带来以下安全收益：</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伤病冲突动作100%规避：基于Neo4j标签隔离检索，精准识别伤病冲突动作。</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负荷超限自动裁剪：单日时长超90分钟自动裁剪末尾动作，周增幅超10%自动下调负荷。</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替代动作推荐：为禁做动作推荐同素质、同肌群的安全替代动作，保证训练完整性。</w:t>
      </w:r>
    </w:p>
    <w:p>
      <w:pPr>
        <w:pStyle w:val="2"/>
        <w:spacing w:after="120" w:before="240"/>
      </w:pPr>
      <w:r>
        <w:rPr>
          <w:rFonts w:ascii="微软雅黑" w:cs="微软雅黑" w:eastAsia="微软雅黑" w:hAnsi="微软雅黑"/>
          <w:b/>
          <w:bCs/>
          <w:color w:val="2C5F8D"/>
          <w:sz w:val="30"/>
          <w:szCs w:val="30"/>
        </w:rPr>
        <w:t xml:space="preserve">6.3 运营效率提升</w:t>
      </w:r>
    </w:p>
    <w:p>
      <w:pPr>
        <w:spacing w:after="60" w:before="60" w:line="360"/>
        <w:ind w:firstLine="431"/>
        <w:jc w:val="both"/>
      </w:pPr>
      <w:r>
        <w:rPr>
          <w:rFonts w:ascii="微软雅黑" w:cs="微软雅黑" w:eastAsia="微软雅黑" w:hAnsi="微软雅黑"/>
          <w:b w:val="false"/>
          <w:bCs w:val="false"/>
          <w:color w:val="000000"/>
          <w:sz w:val="22"/>
          <w:szCs w:val="22"/>
        </w:rPr>
        <w:t xml:space="preserve">系统的自动化能力显著提升教练员和运营人员的工作效率：</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处方生成耗时从人工30分钟降至系统2秒内，效率提升900倍。</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多运动员批量处理：通过FastAPI接口可批量生成处方，适合班级/团队场景。</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经验持续积累：系统越用越智能，历史经验自动沉淀为知识资产。</w:t>
      </w:r>
    </w:p>
    <w:p>
      <w:pPr>
        <w:pStyle w:val="2"/>
        <w:spacing w:after="120" w:before="240"/>
      </w:pPr>
      <w:r>
        <w:rPr>
          <w:rFonts w:ascii="微软雅黑" w:cs="微软雅黑" w:eastAsia="微软雅黑" w:hAnsi="微软雅黑"/>
          <w:b/>
          <w:bCs/>
          <w:color w:val="2C5F8D"/>
          <w:sz w:val="30"/>
          <w:szCs w:val="30"/>
        </w:rPr>
        <w:t xml:space="preserve">6.4 技术资产价值</w:t>
      </w:r>
    </w:p>
    <w:p>
      <w:pPr>
        <w:spacing w:after="60" w:before="60" w:line="360"/>
        <w:ind w:firstLine="431"/>
        <w:jc w:val="both"/>
      </w:pPr>
      <w:r>
        <w:rPr>
          <w:rFonts w:ascii="微软雅黑" w:cs="微软雅黑" w:eastAsia="微软雅黑" w:hAnsi="微软雅黑"/>
          <w:b w:val="false"/>
          <w:bCs w:val="false"/>
          <w:color w:val="000000"/>
          <w:sz w:val="22"/>
          <w:szCs w:val="22"/>
        </w:rPr>
        <w:t xml:space="preserve">本项目产出的技术资产具有高度的复用性和扩展性：</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34个标准化动作知识库：覆盖下肢爆发力、核心稳定性、力量、耐力、柔韧性等全素质。</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六级约束模块：每个模块独立可测试，可单独复用到其他运动训练系统。</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JitRL框架：无梯度强化学习机制可推广到任何需要持续优化的LLM Agent场景。</w:t>
      </w:r>
    </w:p>
    <w:p>
      <w:pPr>
        <w:pStyle w:val="ListParagraph"/>
        <w:numPr>
          <w:ilvl w:val="0"/>
          <w:numId w:val="1"/>
        </w:numPr>
        <w:spacing w:after="40" w:before="40" w:line="320"/>
      </w:pPr>
      <w:r>
        <w:rPr>
          <w:rFonts w:ascii="微软雅黑" w:cs="微软雅黑" w:eastAsia="微软雅黑" w:hAnsi="微软雅黑"/>
          <w:b w:val="false"/>
          <w:bCs w:val="false"/>
          <w:sz w:val="22"/>
          <w:szCs w:val="22"/>
        </w:rPr>
        <w:t xml:space="preserve">双后端架构：Ollama/vLLM双LLM后端+Neo4j/内置双知识库的设计模式可复用。</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微软雅黑" w:cs="微软雅黑" w:eastAsia="微软雅黑" w:hAnsi="微软雅黑"/>
        <w:sz w:val="18"/>
        <w:szCs w:val="18"/>
      </w:rPr>
      <w:t xml:space="preserve">第 </w:t>
    </w:r>
    <w:r>
      <w:rPr>
        <w:sz w:val="18"/>
        <w:szCs w:val="18"/>
      </w:rPr>
      <w:fldChar w:fldCharType="begin"/>
      <w:instrText xml:space="preserve">PAGE</w:instrText>
      <w:fldChar w:fldCharType="separate"/>
      <w:fldChar w:fldCharType="end"/>
    </w:r>
    <w:r>
      <w:rPr>
        <w:rFonts w:ascii="微软雅黑" w:cs="微软雅黑" w:eastAsia="微软雅黑" w:hAnsi="微软雅黑"/>
        <w:sz w:val="18"/>
        <w:szCs w:val="18"/>
      </w:rPr>
      <w:t xml:space="preserve"> 页 / 共 </w:t>
    </w:r>
    <w:r>
      <w:rPr>
        <w:sz w:val="18"/>
        <w:szCs w:val="18"/>
      </w:rPr>
      <w:fldChar w:fldCharType="begin"/>
      <w:instrText xml:space="preserve">NUMPAGES</w:instrText>
      <w:fldChar w:fldCharType="separate"/>
      <w:fldChar w:fldCharType="end"/>
    </w:r>
    <w:r>
      <w:rPr>
        <w:rFonts w:ascii="微软雅黑" w:cs="微软雅黑" w:eastAsia="微软雅黑" w:hAnsi="微软雅黑"/>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C5F8D" w:sz="4" w:space="1"/>
      </w:pBdr>
      <w:jc w:val="right"/>
    </w:pPr>
    <w:r>
      <w:rPr>
        <w:rFonts w:ascii="微软雅黑" w:cs="微软雅黑" w:eastAsia="微软雅黑" w:hAnsi="微软雅黑"/>
        <w:color w:val="2C5F8D"/>
        <w:sz w:val="18"/>
        <w:szCs w:val="18"/>
      </w:rPr>
      <w:t xml:space="preserve">JitRL智能运动训练处方生成智能体 - 解决方案文档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软雅黑" w:cs="微软雅黑" w:eastAsia="微软雅黑" w:hAnsi="微软雅黑"/>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80" w:before="360"/>
    </w:pPr>
    <w:rPr>
      <w:rFonts w:ascii="微软雅黑" w:cs="微软雅黑" w:eastAsia="微软雅黑" w:hAnsi="微软雅黑"/>
      <w:b/>
      <w:bCs/>
      <w:color w:val="2C5F8D"/>
      <w:sz w:val="36"/>
      <w:szCs w:val="36"/>
    </w:rPr>
  </w:style>
  <w:style w:type="paragraph" w:styleId="Heading2">
    <w:name w:val="Heading 2"/>
    <w:basedOn w:val="Normal"/>
    <w:next w:val="Normal"/>
    <w:qFormat/>
    <w:pPr>
      <w:spacing w:after="140" w:before="280"/>
    </w:pPr>
    <w:rPr>
      <w:rFonts w:ascii="微软雅黑" w:cs="微软雅黑" w:eastAsia="微软雅黑" w:hAnsi="微软雅黑"/>
      <w:b/>
      <w:bCs/>
      <w:color w:val="2C5F8D"/>
      <w:sz w:val="30"/>
      <w:szCs w:val="30"/>
    </w:rPr>
  </w:style>
  <w:style w:type="paragraph" w:styleId="Heading3">
    <w:name w:val="Heading 3"/>
    <w:basedOn w:val="Normal"/>
    <w:next w:val="Normal"/>
    <w:qFormat/>
    <w:pPr>
      <w:spacing w:after="120" w:before="240"/>
    </w:pPr>
    <w:rPr>
      <w:rFonts w:ascii="微软雅黑" w:cs="微软雅黑" w:eastAsia="微软雅黑" w:hAnsi="微软雅黑"/>
      <w:b/>
      <w:bCs/>
      <w:color w:val="1F3864"/>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8872a99486ee9eb4ac9513885a5658f1fbd1807.undefined"/><Relationship Id="rId10" Type="http://schemas.openxmlformats.org/officeDocument/2006/relationships/image" Target="media/79d759127a87c65bac9f6bef32d4632d5247a3c8.undefined"/><Relationship Id="rId11" Type="http://schemas.openxmlformats.org/officeDocument/2006/relationships/image" Target="media/0a04c43f38924a1c01a5c2f6155dce8244aecdfe.undefined"/><Relationship Id="rId12" Type="http://schemas.openxmlformats.org/officeDocument/2006/relationships/image" Target="media/a94e0f37609696ec396b83a96aa6372de0a630c7.undefined"/><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2026-08-12T01:55:15.014Z</dcterms:created>
  <dcterms:modified xsi:type="dcterms:W3CDTF">2026-08-12T01:55:15.014Z</dcterms:modified>
</cp:coreProperties>
</file>

<file path=docProps/custom.xml><?xml version="1.0" encoding="utf-8"?>
<Properties xmlns="http://schemas.openxmlformats.org/officeDocument/2006/custom-properties" xmlns:vt="http://schemas.openxmlformats.org/officeDocument/2006/docPropsVTypes"/>
</file>