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rFonts w:ascii="微软雅黑" w:hAnsi="微软雅黑" w:eastAsia="微软雅黑"/>
          <w:b/>
          <w:color w:val="2563EB"/>
          <w:sz w:val="64"/>
        </w:rPr>
        <w:t>智能运动训练处方生成智能体</w:t>
      </w:r>
    </w:p>
    <w:p>
      <w:pPr>
        <w:jc w:val="center"/>
      </w:pPr>
      <w:r>
        <w:rPr>
          <w:rFonts w:ascii="微软雅黑" w:hAnsi="微软雅黑" w:eastAsia="微软雅黑"/>
          <w:color w:val="374151"/>
          <w:sz w:val="48"/>
        </w:rPr>
        <w:t>解决方案文档</w:t>
      </w:r>
    </w:p>
    <w:p>
      <w:pPr>
        <w:jc w:val="center"/>
      </w:pPr>
      <w:r>
        <w:rPr>
          <w:rFonts w:ascii="微软雅黑" w:hAnsi="微软雅黑" w:eastAsia="微软雅黑"/>
          <w:color w:val="6B7280"/>
          <w:sz w:val="28"/>
        </w:rPr>
        <w:t>基于 JitRL 无梯度强化学习的持续学习框架</w:t>
      </w:r>
    </w:p>
    <w:p/>
    <w:p/>
    <w:p/>
    <w:p/>
    <w:p/>
    <w:p/>
    <w:p>
      <w:pPr>
        <w:jc w:val="center"/>
      </w:pPr>
      <w:r>
        <w:rPr>
          <w:rFonts w:ascii="宋体" w:hAnsi="宋体" w:eastAsia="宋体"/>
          <w:color w:val="6B7280"/>
          <w:sz w:val="24"/>
        </w:rPr>
        <w:t>版本：V1.0</w:t>
        <w:br/>
        <w:t>日期：2026年8月</w:t>
        <w:br/>
        <w:t>文档类型：解决方案文档</w:t>
      </w:r>
    </w:p>
    <w:p>
      <w:r>
        <w:br w:type="page"/>
      </w:r>
    </w:p>
    <w:p>
      <w:pPr>
        <w:pStyle w:val="Heading1"/>
      </w:pPr>
      <w:r>
        <w:rPr>
          <w:rFonts w:ascii="微软雅黑" w:hAnsi="微软雅黑" w:eastAsia="微软雅黑"/>
          <w:color w:val="2563EB"/>
          <w:sz w:val="40"/>
        </w:rPr>
        <w:t>目  录</w:t>
      </w:r>
    </w:p>
    <w:p>
      <w:pPr>
        <w:spacing w:line="360" w:lineRule="auto"/>
        <w:ind w:left="567"/>
      </w:pPr>
      <w:r>
        <w:rPr>
          <w:rFonts w:ascii="宋体" w:hAnsi="宋体" w:eastAsia="宋体"/>
          <w:sz w:val="24"/>
        </w:rPr>
        <w:t>1. 项目背景与概述</w:t>
      </w:r>
    </w:p>
    <w:p>
      <w:pPr>
        <w:spacing w:line="360" w:lineRule="auto"/>
        <w:ind w:left="567"/>
      </w:pPr>
      <w:r>
        <w:rPr>
          <w:rFonts w:ascii="宋体" w:hAnsi="宋体" w:eastAsia="宋体"/>
          <w:sz w:val="24"/>
        </w:rPr>
        <w:t>2. 问题定义与业务挑战</w:t>
      </w:r>
    </w:p>
    <w:p>
      <w:pPr>
        <w:spacing w:line="360" w:lineRule="auto"/>
        <w:ind w:left="567"/>
      </w:pPr>
      <w:r>
        <w:rPr>
          <w:rFonts w:ascii="宋体" w:hAnsi="宋体" w:eastAsia="宋体"/>
          <w:sz w:val="24"/>
        </w:rPr>
        <w:t>3. JitRL 技术原理与论文复现</w:t>
      </w:r>
    </w:p>
    <w:p>
      <w:pPr>
        <w:spacing w:line="360" w:lineRule="auto"/>
        <w:ind w:left="567"/>
      </w:pPr>
      <w:r>
        <w:rPr>
          <w:rFonts w:ascii="宋体" w:hAnsi="宋体" w:eastAsia="宋体"/>
          <w:sz w:val="24"/>
        </w:rPr>
        <w:t>4. 系统总体解决方案</w:t>
      </w:r>
    </w:p>
    <w:p>
      <w:pPr>
        <w:spacing w:line="360" w:lineRule="auto"/>
        <w:ind w:left="567"/>
      </w:pPr>
      <w:r>
        <w:rPr>
          <w:rFonts w:ascii="宋体" w:hAnsi="宋体" w:eastAsia="宋体"/>
          <w:sz w:val="24"/>
        </w:rPr>
        <w:t>5. 核心业务模块设计</w:t>
      </w:r>
    </w:p>
    <w:p>
      <w:pPr>
        <w:spacing w:line="360" w:lineRule="auto"/>
        <w:ind w:left="567"/>
      </w:pPr>
      <w:r>
        <w:rPr>
          <w:rFonts w:ascii="宋体" w:hAnsi="宋体" w:eastAsia="宋体"/>
          <w:sz w:val="24"/>
        </w:rPr>
        <w:t>6. 六级约束优先级体系</w:t>
      </w:r>
    </w:p>
    <w:p>
      <w:pPr>
        <w:spacing w:line="360" w:lineRule="auto"/>
        <w:ind w:left="567"/>
      </w:pPr>
      <w:r>
        <w:rPr>
          <w:rFonts w:ascii="宋体" w:hAnsi="宋体" w:eastAsia="宋体"/>
          <w:sz w:val="24"/>
        </w:rPr>
        <w:t>7. 技术选型与架构决策</w:t>
      </w:r>
    </w:p>
    <w:p>
      <w:pPr>
        <w:spacing w:line="360" w:lineRule="auto"/>
        <w:ind w:left="567"/>
      </w:pPr>
      <w:r>
        <w:rPr>
          <w:rFonts w:ascii="宋体" w:hAnsi="宋体" w:eastAsia="宋体"/>
          <w:sz w:val="24"/>
        </w:rPr>
        <w:t>8. 部署方案与运行环境</w:t>
      </w:r>
    </w:p>
    <w:p>
      <w:pPr>
        <w:spacing w:line="360" w:lineRule="auto"/>
        <w:ind w:left="567"/>
      </w:pPr>
      <w:r>
        <w:rPr>
          <w:rFonts w:ascii="宋体" w:hAnsi="宋体" w:eastAsia="宋体"/>
          <w:sz w:val="24"/>
        </w:rPr>
        <w:t>9. 项目价值与预期收益</w:t>
      </w:r>
    </w:p>
    <w:p>
      <w:r>
        <w:br w:type="page"/>
      </w:r>
    </w:p>
    <w:p>
      <w:pPr>
        <w:pStyle w:val="Heading1"/>
      </w:pPr>
      <w:r>
        <w:rPr>
          <w:rFonts w:ascii="微软雅黑" w:hAnsi="微软雅黑" w:eastAsia="微软雅黑"/>
          <w:color w:val="2563EB"/>
          <w:sz w:val="40"/>
        </w:rPr>
        <w:t>1. 项目背景与概述</w:t>
      </w:r>
    </w:p>
    <w:p>
      <w:pPr>
        <w:pStyle w:val="Heading2"/>
      </w:pPr>
      <w:r>
        <w:rPr>
          <w:rFonts w:ascii="微软雅黑" w:hAnsi="微软雅黑" w:eastAsia="微软雅黑"/>
          <w:color w:val="374151"/>
          <w:sz w:val="32"/>
        </w:rPr>
        <w:t>1.1 项目背景</w:t>
      </w:r>
    </w:p>
    <w:p>
      <w:pPr>
        <w:spacing w:line="360" w:lineRule="auto" w:after="120"/>
        <w:ind w:firstLine="420"/>
      </w:pPr>
      <w:r>
        <w:rPr>
          <w:rFonts w:ascii="宋体" w:hAnsi="宋体" w:eastAsia="宋体"/>
          <w:b w:val="0"/>
          <w:sz w:val="22"/>
        </w:rPr>
        <w:t>在竞技体育和大众健身领域，科学的运动训练处方是提升运动表现、预防运动损伤的核心工具。传统的训练处方制定高度依赖教练员的经验积累，存在个性化不足、伤病风险规避不严格、负荷渐进不科学等问题。随着大语言模型（LLM）技术的快速发展，基于 LLM 的智能体（Agent）在复杂决策任务中展现出巨大潜力，但传统 LLM Agent 面临两个关键瓶颈：一是无法从交互经验中持续学习，二是策略优化依赖梯度更新，计算成本高昂且难以实时进行。</w:t>
      </w:r>
    </w:p>
    <w:p>
      <w:pPr>
        <w:spacing w:line="360" w:lineRule="auto" w:after="120"/>
        <w:ind w:firstLine="420"/>
      </w:pPr>
      <w:r>
        <w:rPr>
          <w:rFonts w:ascii="宋体" w:hAnsi="宋体" w:eastAsia="宋体"/>
          <w:b w:val="0"/>
          <w:sz w:val="22"/>
        </w:rPr>
        <w:t>JitRL（Just-in-Time Reinforcement Learning）是 2026 年 ICML 提出的一种新型无梯度强化学习框架，其核心创新在于：在推理阶段（test-time）通过检索历史经验、估计动作价值、闭式更新策略，实现即时的策略优化，无需任何梯度反向传播。这种范式特别适合运动训练处方这类需要持续从运动员反馈中学习、且对实时性要求较高的场景。</w:t>
      </w:r>
    </w:p>
    <w:p>
      <w:pPr>
        <w:spacing w:line="360" w:lineRule="auto" w:after="120"/>
        <w:ind w:firstLine="420"/>
      </w:pPr>
      <w:r>
        <w:rPr>
          <w:rFonts w:ascii="宋体" w:hAnsi="宋体" w:eastAsia="宋体"/>
          <w:b w:val="0"/>
          <w:sz w:val="22"/>
        </w:rPr>
        <w:t>本项目复现并扩展 JitRL 论文（arXiv:2601.18510v3），将其应用于智能运动训练处方生成领域，构建一个完整的、可部署的智能体系统，支持 Ollama 和 vLLM 两种本地大模型后端，提供 CLI 命令行和 FastAPI Web 两种调用方式，严格执行六级约束优先级体系，确保生成的处方安全、科学、个性化。</w:t>
      </w:r>
    </w:p>
    <w:p>
      <w:pPr>
        <w:pStyle w:val="Heading2"/>
      </w:pPr>
      <w:r>
        <w:rPr>
          <w:rFonts w:ascii="微软雅黑" w:hAnsi="微软雅黑" w:eastAsia="微软雅黑"/>
          <w:color w:val="374151"/>
          <w:sz w:val="32"/>
        </w:rPr>
        <w:t>1.2 项目目标</w:t>
      </w:r>
    </w:p>
    <w:p>
      <w:pPr>
        <w:spacing w:line="360" w:lineRule="auto" w:after="120"/>
        <w:ind w:firstLine="420"/>
      </w:pPr>
      <w:r>
        <w:rPr>
          <w:rFonts w:ascii="宋体" w:hAnsi="宋体" w:eastAsia="宋体"/>
          <w:b w:val="0"/>
          <w:sz w:val="22"/>
        </w:rPr>
        <w:t>本项目的核心目标是构建一个生产可用的智能运动训练处方生成智能体，具体包括以下子目标：</w:t>
      </w:r>
    </w:p>
    <w:p>
      <w:pPr>
        <w:pStyle w:val="ListBullet"/>
        <w:spacing w:line="360" w:lineRule="auto"/>
      </w:pPr>
      <w:r>
        <w:rPr>
          <w:rFonts w:ascii="宋体" w:hAnsi="宋体" w:eastAsia="宋体"/>
          <w:sz w:val="22"/>
        </w:rPr>
        <w:t>复现 JitRL 论文核心算法：实现动态记忆库、Jaccard 相似度检索、闭式策略更新等关键组件，确保算法正确性。</w:t>
      </w:r>
    </w:p>
    <w:p>
      <w:pPr>
        <w:pStyle w:val="ListBullet"/>
        <w:spacing w:line="360" w:lineRule="auto"/>
      </w:pPr>
      <w:r>
        <w:rPr>
          <w:rFonts w:ascii="宋体" w:hAnsi="宋体" w:eastAsia="宋体"/>
          <w:sz w:val="22"/>
        </w:rPr>
        <w:t>构建完整的业务约束体系：实现动作风控过滤器、体能素质调度器、肌群间隔编排器、1RM 负重换算引擎、四周周期渐进控制器、时长增幅控制器六大标准化业务模块。</w:t>
      </w:r>
    </w:p>
    <w:p>
      <w:pPr>
        <w:pStyle w:val="ListBullet"/>
        <w:spacing w:line="360" w:lineRule="auto"/>
      </w:pPr>
      <w:r>
        <w:rPr>
          <w:rFonts w:ascii="宋体" w:hAnsi="宋体" w:eastAsia="宋体"/>
          <w:sz w:val="22"/>
        </w:rPr>
        <w:t>支持多 LLM 后端：适配 Ollama 和 vLLM 两种主流本地大模型推理框架，同时提供 Mock 后端用于无 LLM 环境下的降级运行。</w:t>
      </w:r>
    </w:p>
    <w:p>
      <w:pPr>
        <w:pStyle w:val="ListBullet"/>
        <w:spacing w:line="360" w:lineRule="auto"/>
      </w:pPr>
      <w:r>
        <w:rPr>
          <w:rFonts w:ascii="宋体" w:hAnsi="宋体" w:eastAsia="宋体"/>
          <w:sz w:val="22"/>
        </w:rPr>
        <w:t>提供双调用接口：CLI 命令行接口满足脚本化批处理需求，FastAPI Web 接口满足系统集成需求。</w:t>
      </w:r>
    </w:p>
    <w:p>
      <w:pPr>
        <w:pStyle w:val="ListBullet"/>
        <w:spacing w:line="360" w:lineRule="auto"/>
      </w:pPr>
      <w:r>
        <w:rPr>
          <w:rFonts w:ascii="宋体" w:hAnsi="宋体" w:eastAsia="宋体"/>
          <w:sz w:val="22"/>
        </w:rPr>
        <w:t>知识图谱集成：支持 Neo4j 图数据库存储伤病-动作风控关系，同时提供内置 JSON 知识库作为降级方案。</w:t>
      </w:r>
    </w:p>
    <w:p>
      <w:pPr>
        <w:pStyle w:val="Heading2"/>
      </w:pPr>
      <w:r>
        <w:rPr>
          <w:rFonts w:ascii="微软雅黑" w:hAnsi="微软雅黑" w:eastAsia="微软雅黑"/>
          <w:color w:val="374151"/>
          <w:sz w:val="32"/>
        </w:rPr>
        <w:t>1.3 适用场景</w:t>
      </w:r>
    </w:p>
    <w:p>
      <w:pPr>
        <w:spacing w:line="360" w:lineRule="auto" w:after="120"/>
        <w:ind w:firstLine="420"/>
      </w:pPr>
      <w:r>
        <w:rPr>
          <w:rFonts w:ascii="宋体" w:hAnsi="宋体" w:eastAsia="宋体"/>
          <w:b w:val="0"/>
          <w:sz w:val="22"/>
        </w:rPr>
        <w:t>本系统适用于以下典型场景：</w:t>
      </w:r>
    </w:p>
    <w:p>
      <w:pPr>
        <w:pStyle w:val="ListBullet"/>
        <w:spacing w:line="360" w:lineRule="auto"/>
      </w:pPr>
      <w:r>
        <w:rPr>
          <w:rFonts w:ascii="宋体" w:hAnsi="宋体" w:eastAsia="宋体"/>
          <w:sz w:val="22"/>
        </w:rPr>
        <w:t>青少年体育训练：针对中学生体测项目（50米跑、1000米跑、立定跳远、坐位体前屈、引体向上/仰卧起坐）制定针对性训练计划。</w:t>
      </w:r>
    </w:p>
    <w:p>
      <w:pPr>
        <w:pStyle w:val="ListBullet"/>
        <w:spacing w:line="360" w:lineRule="auto"/>
      </w:pPr>
      <w:r>
        <w:rPr>
          <w:rFonts w:ascii="宋体" w:hAnsi="宋体" w:eastAsia="宋体"/>
          <w:sz w:val="22"/>
        </w:rPr>
        <w:t>专业运动员训练：基于运动员的体能短板、伤病历史、训练负荷数据，生成周期化训练处方。</w:t>
      </w:r>
    </w:p>
    <w:p>
      <w:pPr>
        <w:pStyle w:val="ListBullet"/>
        <w:spacing w:line="360" w:lineRule="auto"/>
      </w:pPr>
      <w:r>
        <w:rPr>
          <w:rFonts w:ascii="宋体" w:hAnsi="宋体" w:eastAsia="宋体"/>
          <w:sz w:val="22"/>
        </w:rPr>
        <w:t>大众健身指导：为健身爱好者提供个性化的、考虑伤病约束的训练方案。</w:t>
      </w:r>
    </w:p>
    <w:p>
      <w:pPr>
        <w:pStyle w:val="ListBullet"/>
        <w:spacing w:line="360" w:lineRule="auto"/>
      </w:pPr>
      <w:r>
        <w:rPr>
          <w:rFonts w:ascii="宋体" w:hAnsi="宋体" w:eastAsia="宋体"/>
          <w:sz w:val="22"/>
        </w:rPr>
        <w:t>康复训练：针对运动损伤后的康复阶段，生成低冲击、渐进式的恢复训练处方。</w:t>
      </w:r>
    </w:p>
    <w:p>
      <w:pPr>
        <w:pStyle w:val="Heading2"/>
      </w:pPr>
      <w:r>
        <w:rPr>
          <w:rFonts w:ascii="微软雅黑" w:hAnsi="微软雅黑" w:eastAsia="微软雅黑"/>
          <w:color w:val="374151"/>
          <w:sz w:val="32"/>
        </w:rPr>
        <w:t>1.4 输入参数说明</w:t>
      </w:r>
    </w:p>
    <w:p>
      <w:pPr>
        <w:spacing w:line="360" w:lineRule="auto" w:after="120"/>
        <w:ind w:firstLine="420"/>
      </w:pPr>
      <w:r>
        <w:rPr>
          <w:rFonts w:ascii="宋体" w:hAnsi="宋体" w:eastAsia="宋体"/>
          <w:b w:val="0"/>
          <w:sz w:val="22"/>
        </w:rPr>
        <w:t>系统的输入参数包含七大维度，覆盖运动员的全部相关信息：</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268"/>
            <w:shd w:fill="2563EB"/>
          </w:tcPr>
          <w:p>
            <w:pPr>
              <w:jc w:val="center"/>
            </w:pPr>
            <w:r/>
            <w:r>
              <w:rPr>
                <w:rFonts w:ascii="微软雅黑" w:hAnsi="微软雅黑" w:eastAsia="微软雅黑"/>
                <w:b/>
                <w:color w:val="FFFFFF"/>
                <w:sz w:val="20"/>
              </w:rPr>
              <w:t>字段名</w:t>
            </w:r>
          </w:p>
        </w:tc>
        <w:tc>
          <w:tcPr>
            <w:tcW w:type="dxa" w:w="1701"/>
            <w:shd w:fill="2563EB"/>
          </w:tcPr>
          <w:p>
            <w:pPr>
              <w:jc w:val="center"/>
            </w:pPr>
            <w:r/>
            <w:r>
              <w:rPr>
                <w:rFonts w:ascii="微软雅黑" w:hAnsi="微软雅黑" w:eastAsia="微软雅黑"/>
                <w:b/>
                <w:color w:val="FFFFFF"/>
                <w:sz w:val="20"/>
              </w:rPr>
              <w:t>类型</w:t>
            </w:r>
          </w:p>
        </w:tc>
        <w:tc>
          <w:tcPr>
            <w:tcW w:type="dxa" w:w="3402"/>
            <w:shd w:fill="2563EB"/>
          </w:tcPr>
          <w:p>
            <w:pPr>
              <w:jc w:val="center"/>
            </w:pPr>
            <w:r/>
            <w:r>
              <w:rPr>
                <w:rFonts w:ascii="微软雅黑" w:hAnsi="微软雅黑" w:eastAsia="微软雅黑"/>
                <w:b/>
                <w:color w:val="FFFFFF"/>
                <w:sz w:val="20"/>
              </w:rPr>
              <w:t>说明</w:t>
            </w:r>
          </w:p>
        </w:tc>
        <w:tc>
          <w:tcPr>
            <w:tcW w:type="dxa" w:w="1701"/>
            <w:shd w:fill="2563EB"/>
          </w:tcPr>
          <w:p>
            <w:pPr>
              <w:jc w:val="center"/>
            </w:pPr>
            <w:r/>
            <w:r>
              <w:rPr>
                <w:rFonts w:ascii="微软雅黑" w:hAnsi="微软雅黑" w:eastAsia="微软雅黑"/>
                <w:b/>
                <w:color w:val="FFFFFF"/>
                <w:sz w:val="20"/>
              </w:rPr>
              <w:t>约束</w:t>
            </w:r>
          </w:p>
        </w:tc>
      </w:tr>
      <w:tr>
        <w:tc>
          <w:tcPr>
            <w:tcW w:type="dxa" w:w="2268"/>
          </w:tcPr>
          <w:p>
            <w:r/>
            <w:r>
              <w:rPr>
                <w:rFonts w:ascii="宋体" w:hAnsi="宋体" w:eastAsia="宋体"/>
                <w:sz w:val="18"/>
              </w:rPr>
              <w:t>latestExerciseLoadIndex</w:t>
            </w:r>
          </w:p>
        </w:tc>
        <w:tc>
          <w:tcPr>
            <w:tcW w:type="dxa" w:w="1701"/>
          </w:tcPr>
          <w:p>
            <w:r/>
            <w:r>
              <w:rPr>
                <w:rFonts w:ascii="宋体" w:hAnsi="宋体" w:eastAsia="宋体"/>
                <w:sz w:val="18"/>
              </w:rPr>
              <w:t>Float</w:t>
            </w:r>
          </w:p>
        </w:tc>
        <w:tc>
          <w:tcPr>
            <w:tcW w:type="dxa" w:w="3402"/>
          </w:tcPr>
          <w:p>
            <w:r/>
            <w:r>
              <w:rPr>
                <w:rFonts w:ascii="宋体" w:hAnsi="宋体" w:eastAsia="宋体"/>
                <w:sz w:val="18"/>
              </w:rPr>
              <w:t>最新运动负荷指数，无历史数据填null</w:t>
            </w:r>
          </w:p>
        </w:tc>
        <w:tc>
          <w:tcPr>
            <w:tcW w:type="dxa" w:w="1701"/>
          </w:tcPr>
          <w:p>
            <w:r/>
            <w:r>
              <w:rPr>
                <w:rFonts w:ascii="宋体" w:hAnsi="宋体" w:eastAsia="宋体"/>
                <w:sz w:val="18"/>
              </w:rPr>
              <w:t>0-1000</w:t>
            </w:r>
          </w:p>
        </w:tc>
      </w:tr>
      <w:tr>
        <w:tc>
          <w:tcPr>
            <w:tcW w:type="dxa" w:w="2268"/>
          </w:tcPr>
          <w:p>
            <w:r/>
            <w:r>
              <w:rPr>
                <w:rFonts w:ascii="宋体" w:hAnsi="宋体" w:eastAsia="宋体"/>
                <w:sz w:val="18"/>
              </w:rPr>
              <w:t>fitnessWeakness</w:t>
            </w:r>
          </w:p>
        </w:tc>
        <w:tc>
          <w:tcPr>
            <w:tcW w:type="dxa" w:w="1701"/>
          </w:tcPr>
          <w:p>
            <w:r/>
            <w:r>
              <w:rPr>
                <w:rFonts w:ascii="宋体" w:hAnsi="宋体" w:eastAsia="宋体"/>
                <w:sz w:val="18"/>
              </w:rPr>
              <w:t>Array&lt;String&gt;</w:t>
            </w:r>
          </w:p>
        </w:tc>
        <w:tc>
          <w:tcPr>
            <w:tcW w:type="dxa" w:w="3402"/>
          </w:tcPr>
          <w:p>
            <w:r/>
            <w:r>
              <w:rPr>
                <w:rFonts w:ascii="宋体" w:hAnsi="宋体" w:eastAsia="宋体"/>
                <w:sz w:val="18"/>
              </w:rPr>
              <w:t>体能短板数组，取值为标准体能素质名称</w:t>
            </w:r>
          </w:p>
        </w:tc>
        <w:tc>
          <w:tcPr>
            <w:tcW w:type="dxa" w:w="1701"/>
          </w:tcPr>
          <w:p>
            <w:r/>
            <w:r>
              <w:rPr>
                <w:rFonts w:ascii="宋体" w:hAnsi="宋体" w:eastAsia="宋体"/>
                <w:sz w:val="18"/>
              </w:rPr>
              <w:t>空数组代表无明显短板</w:t>
            </w:r>
          </w:p>
        </w:tc>
      </w:tr>
      <w:tr>
        <w:tc>
          <w:tcPr>
            <w:tcW w:type="dxa" w:w="2268"/>
          </w:tcPr>
          <w:p>
            <w:r/>
            <w:r>
              <w:rPr>
                <w:rFonts w:ascii="宋体" w:hAnsi="宋体" w:eastAsia="宋体"/>
                <w:sz w:val="18"/>
              </w:rPr>
              <w:t>personInfo</w:t>
            </w:r>
          </w:p>
        </w:tc>
        <w:tc>
          <w:tcPr>
            <w:tcW w:type="dxa" w:w="1701"/>
          </w:tcPr>
          <w:p>
            <w:r/>
            <w:r>
              <w:rPr>
                <w:rFonts w:ascii="宋体" w:hAnsi="宋体" w:eastAsia="宋体"/>
                <w:sz w:val="18"/>
              </w:rPr>
              <w:t>Object</w:t>
            </w:r>
          </w:p>
        </w:tc>
        <w:tc>
          <w:tcPr>
            <w:tcW w:type="dxa" w:w="3402"/>
          </w:tcPr>
          <w:p>
            <w:r/>
            <w:r>
              <w:rPr>
                <w:rFonts w:ascii="宋体" w:hAnsi="宋体" w:eastAsia="宋体"/>
                <w:sz w:val="18"/>
              </w:rPr>
              <w:t>人员基础信息（ID、姓名、年龄、性别、身高、体重等）</w:t>
            </w:r>
          </w:p>
        </w:tc>
        <w:tc>
          <w:tcPr>
            <w:tcW w:type="dxa" w:w="1701"/>
          </w:tcPr>
          <w:p>
            <w:r/>
            <w:r>
              <w:rPr>
                <w:rFonts w:ascii="宋体" w:hAnsi="宋体" w:eastAsia="宋体"/>
                <w:sz w:val="18"/>
              </w:rPr>
              <w:t>必填</w:t>
            </w:r>
          </w:p>
        </w:tc>
      </w:tr>
      <w:tr>
        <w:tc>
          <w:tcPr>
            <w:tcW w:type="dxa" w:w="2268"/>
          </w:tcPr>
          <w:p>
            <w:r/>
            <w:r>
              <w:rPr>
                <w:rFonts w:ascii="宋体" w:hAnsi="宋体" w:eastAsia="宋体"/>
                <w:sz w:val="18"/>
              </w:rPr>
              <w:t>healthInfo</w:t>
            </w:r>
          </w:p>
        </w:tc>
        <w:tc>
          <w:tcPr>
            <w:tcW w:type="dxa" w:w="1701"/>
          </w:tcPr>
          <w:p>
            <w:r/>
            <w:r>
              <w:rPr>
                <w:rFonts w:ascii="宋体" w:hAnsi="宋体" w:eastAsia="宋体"/>
                <w:sz w:val="18"/>
              </w:rPr>
              <w:t>Object</w:t>
            </w:r>
          </w:p>
        </w:tc>
        <w:tc>
          <w:tcPr>
            <w:tcW w:type="dxa" w:w="3402"/>
          </w:tcPr>
          <w:p>
            <w:r/>
            <w:r>
              <w:rPr>
                <w:rFonts w:ascii="宋体" w:hAnsi="宋体" w:eastAsia="宋体"/>
                <w:sz w:val="18"/>
              </w:rPr>
              <w:t>健康伤病信息（当前伤病、既往损伤）</w:t>
            </w:r>
          </w:p>
        </w:tc>
        <w:tc>
          <w:tcPr>
            <w:tcW w:type="dxa" w:w="1701"/>
          </w:tcPr>
          <w:p>
            <w:r/>
            <w:r>
              <w:rPr>
                <w:rFonts w:ascii="宋体" w:hAnsi="宋体" w:eastAsia="宋体"/>
                <w:sz w:val="18"/>
              </w:rPr>
              <w:t>强约束</w:t>
            </w:r>
          </w:p>
        </w:tc>
      </w:tr>
      <w:tr>
        <w:tc>
          <w:tcPr>
            <w:tcW w:type="dxa" w:w="2268"/>
          </w:tcPr>
          <w:p>
            <w:r/>
            <w:r>
              <w:rPr>
                <w:rFonts w:ascii="宋体" w:hAnsi="宋体" w:eastAsia="宋体"/>
                <w:sz w:val="18"/>
              </w:rPr>
              <w:t>fitnessTestRecords</w:t>
            </w:r>
          </w:p>
        </w:tc>
        <w:tc>
          <w:tcPr>
            <w:tcW w:type="dxa" w:w="1701"/>
          </w:tcPr>
          <w:p>
            <w:r/>
            <w:r>
              <w:rPr>
                <w:rFonts w:ascii="宋体" w:hAnsi="宋体" w:eastAsia="宋体"/>
                <w:sz w:val="18"/>
              </w:rPr>
              <w:t>Array&lt;Object&gt;</w:t>
            </w:r>
          </w:p>
        </w:tc>
        <w:tc>
          <w:tcPr>
            <w:tcW w:type="dxa" w:w="3402"/>
          </w:tcPr>
          <w:p>
            <w:r/>
            <w:r>
              <w:rPr>
                <w:rFonts w:ascii="宋体" w:hAnsi="宋体" w:eastAsia="宋体"/>
                <w:sz w:val="18"/>
              </w:rPr>
              <w:t>体能测试记录数组，支持多条历史体测</w:t>
            </w:r>
          </w:p>
        </w:tc>
        <w:tc>
          <w:tcPr>
            <w:tcW w:type="dxa" w:w="1701"/>
          </w:tcPr>
          <w:p>
            <w:r/>
            <w:r>
              <w:rPr>
                <w:rFonts w:ascii="宋体" w:hAnsi="宋体" w:eastAsia="宋体"/>
                <w:sz w:val="18"/>
              </w:rPr>
              <w:t>至少1条</w:t>
            </w:r>
          </w:p>
        </w:tc>
      </w:tr>
      <w:tr>
        <w:tc>
          <w:tcPr>
            <w:tcW w:type="dxa" w:w="2268"/>
          </w:tcPr>
          <w:p>
            <w:r/>
            <w:r>
              <w:rPr>
                <w:rFonts w:ascii="宋体" w:hAnsi="宋体" w:eastAsia="宋体"/>
                <w:sz w:val="18"/>
              </w:rPr>
              <w:t>trainExecuteRecords</w:t>
            </w:r>
          </w:p>
        </w:tc>
        <w:tc>
          <w:tcPr>
            <w:tcW w:type="dxa" w:w="1701"/>
          </w:tcPr>
          <w:p>
            <w:r/>
            <w:r>
              <w:rPr>
                <w:rFonts w:ascii="宋体" w:hAnsi="宋体" w:eastAsia="宋体"/>
                <w:sz w:val="18"/>
              </w:rPr>
              <w:t>Array&lt;Object&gt;</w:t>
            </w:r>
          </w:p>
        </w:tc>
        <w:tc>
          <w:tcPr>
            <w:tcW w:type="dxa" w:w="3402"/>
          </w:tcPr>
          <w:p>
            <w:r/>
            <w:r>
              <w:rPr>
                <w:rFonts w:ascii="宋体" w:hAnsi="宋体" w:eastAsia="宋体"/>
                <w:sz w:val="18"/>
              </w:rPr>
              <w:t>历史训练执行记录数组</w:t>
            </w:r>
          </w:p>
        </w:tc>
        <w:tc>
          <w:tcPr>
            <w:tcW w:type="dxa" w:w="1701"/>
          </w:tcPr>
          <w:p>
            <w:r/>
            <w:r>
              <w:rPr>
                <w:rFonts w:ascii="宋体" w:hAnsi="宋体" w:eastAsia="宋体"/>
                <w:sz w:val="18"/>
              </w:rPr>
              <w:t>可为空</w:t>
            </w:r>
          </w:p>
        </w:tc>
      </w:tr>
      <w:tr>
        <w:tc>
          <w:tcPr>
            <w:tcW w:type="dxa" w:w="2268"/>
          </w:tcPr>
          <w:p>
            <w:r/>
            <w:r>
              <w:rPr>
                <w:rFonts w:ascii="宋体" w:hAnsi="宋体" w:eastAsia="宋体"/>
                <w:sz w:val="18"/>
              </w:rPr>
              <w:t>trainDemand</w:t>
            </w:r>
          </w:p>
        </w:tc>
        <w:tc>
          <w:tcPr>
            <w:tcW w:type="dxa" w:w="1701"/>
          </w:tcPr>
          <w:p>
            <w:r/>
            <w:r>
              <w:rPr>
                <w:rFonts w:ascii="宋体" w:hAnsi="宋体" w:eastAsia="宋体"/>
                <w:sz w:val="18"/>
              </w:rPr>
              <w:t>Object</w:t>
            </w:r>
          </w:p>
        </w:tc>
        <w:tc>
          <w:tcPr>
            <w:tcW w:type="dxa" w:w="3402"/>
          </w:tcPr>
          <w:p>
            <w:r/>
            <w:r>
              <w:rPr>
                <w:rFonts w:ascii="宋体" w:hAnsi="宋体" w:eastAsia="宋体"/>
                <w:sz w:val="18"/>
              </w:rPr>
              <w:t>训练需求与硬性约束条件</w:t>
            </w:r>
          </w:p>
        </w:tc>
        <w:tc>
          <w:tcPr>
            <w:tcW w:type="dxa" w:w="1701"/>
          </w:tcPr>
          <w:p>
            <w:r/>
            <w:r>
              <w:rPr>
                <w:rFonts w:ascii="宋体" w:hAnsi="宋体" w:eastAsia="宋体"/>
                <w:sz w:val="18"/>
              </w:rPr>
              <w:t>必填</w:t>
            </w:r>
          </w:p>
        </w:tc>
      </w:tr>
    </w:tbl>
    <w:p>
      <w:r>
        <w:br w:type="page"/>
      </w:r>
    </w:p>
    <w:p>
      <w:pPr>
        <w:pStyle w:val="Heading1"/>
      </w:pPr>
      <w:r>
        <w:rPr>
          <w:rFonts w:ascii="微软雅黑" w:hAnsi="微软雅黑" w:eastAsia="微软雅黑"/>
          <w:color w:val="2563EB"/>
          <w:sz w:val="40"/>
        </w:rPr>
        <w:t>2. 问题定义与业务挑战</w:t>
      </w:r>
    </w:p>
    <w:p>
      <w:pPr>
        <w:pStyle w:val="Heading2"/>
      </w:pPr>
      <w:r>
        <w:rPr>
          <w:rFonts w:ascii="微软雅黑" w:hAnsi="微软雅黑" w:eastAsia="微软雅黑"/>
          <w:color w:val="374151"/>
          <w:sz w:val="32"/>
        </w:rPr>
        <w:t>2.1 核心问题定义</w:t>
      </w:r>
    </w:p>
    <w:p>
      <w:pPr>
        <w:spacing w:line="360" w:lineRule="auto" w:after="120"/>
        <w:ind w:firstLine="420"/>
      </w:pPr>
      <w:r>
        <w:rPr>
          <w:rFonts w:ascii="宋体" w:hAnsi="宋体" w:eastAsia="宋体"/>
          <w:b w:val="0"/>
          <w:sz w:val="22"/>
        </w:rPr>
        <w:t>智能运动训练处方生成可以形式化为一个带约束的序列决策问题：给定运动员的状态信息 s（包含体能短板、伤病、体测、历史训练等），系统需要生成一个为期 N 周的训练处方 π = {W₁, W₂, ..., Wₙ}，其中每周 Wᵢ 包含若干训练日，每个训练日包含若干动作。目标是最大化处方的综合质量（安全性、针对性、渐进性、可执行性），同时满足六级业务约束。</w:t>
      </w:r>
    </w:p>
    <w:p>
      <w:pPr>
        <w:spacing w:line="360" w:lineRule="auto" w:after="120"/>
        <w:ind w:firstLine="420"/>
      </w:pPr>
      <w:r>
        <w:rPr>
          <w:rFonts w:ascii="宋体" w:hAnsi="宋体" w:eastAsia="宋体"/>
          <w:b w:val="0"/>
          <w:sz w:val="22"/>
        </w:rPr>
        <w:t>与传统推荐问题不同，运动处方具有以下独特性质：第一，强安全性约束——伤病禁忌动作必须严格规避，违规可能导致二次损伤；第二，周期渐进性——训练负荷必须遵循适应-提高-稳定的科学周期，不能随意波动；第三，个性化——同一动作对不同运动员的效果差异巨大，需要从历史执行记录中学习；第四，多目标平衡——需要在提升短板、保持优势、控制负荷之间取得平衡。</w:t>
      </w:r>
    </w:p>
    <w:p>
      <w:pPr>
        <w:pStyle w:val="Heading2"/>
      </w:pPr>
      <w:r>
        <w:rPr>
          <w:rFonts w:ascii="微软雅黑" w:hAnsi="微软雅黑" w:eastAsia="微软雅黑"/>
          <w:color w:val="374151"/>
          <w:sz w:val="32"/>
        </w:rPr>
        <w:t>2.2 传统方案的局限性</w:t>
      </w:r>
    </w:p>
    <w:p>
      <w:pPr>
        <w:spacing w:line="360" w:lineRule="auto" w:after="120"/>
        <w:ind w:firstLine="420"/>
      </w:pPr>
      <w:r>
        <w:rPr>
          <w:rFonts w:ascii="宋体" w:hAnsi="宋体" w:eastAsia="宋体"/>
          <w:b w:val="0"/>
          <w:sz w:val="22"/>
        </w:rPr>
        <w:t>现有的训练处方生成方案主要分为三类，各有明显局限：</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701"/>
            <w:shd w:fill="2563EB"/>
          </w:tcPr>
          <w:p>
            <w:pPr>
              <w:jc w:val="center"/>
            </w:pPr>
            <w:r/>
            <w:r>
              <w:rPr>
                <w:rFonts w:ascii="微软雅黑" w:hAnsi="微软雅黑" w:eastAsia="微软雅黑"/>
                <w:b/>
                <w:color w:val="FFFFFF"/>
                <w:sz w:val="20"/>
              </w:rPr>
              <w:t>方案类型</w:t>
            </w:r>
          </w:p>
        </w:tc>
        <w:tc>
          <w:tcPr>
            <w:tcW w:type="dxa" w:w="1701"/>
            <w:shd w:fill="2563EB"/>
          </w:tcPr>
          <w:p>
            <w:pPr>
              <w:jc w:val="center"/>
            </w:pPr>
            <w:r/>
            <w:r>
              <w:rPr>
                <w:rFonts w:ascii="微软雅黑" w:hAnsi="微软雅黑" w:eastAsia="微软雅黑"/>
                <w:b/>
                <w:color w:val="FFFFFF"/>
                <w:sz w:val="20"/>
              </w:rPr>
              <w:t>代表方法</w:t>
            </w:r>
          </w:p>
        </w:tc>
        <w:tc>
          <w:tcPr>
            <w:tcW w:type="dxa" w:w="2268"/>
            <w:shd w:fill="2563EB"/>
          </w:tcPr>
          <w:p>
            <w:pPr>
              <w:jc w:val="center"/>
            </w:pPr>
            <w:r/>
            <w:r>
              <w:rPr>
                <w:rFonts w:ascii="微软雅黑" w:hAnsi="微软雅黑" w:eastAsia="微软雅黑"/>
                <w:b/>
                <w:color w:val="FFFFFF"/>
                <w:sz w:val="20"/>
              </w:rPr>
              <w:t>优势</w:t>
            </w:r>
          </w:p>
        </w:tc>
        <w:tc>
          <w:tcPr>
            <w:tcW w:type="dxa" w:w="2835"/>
            <w:shd w:fill="2563EB"/>
          </w:tcPr>
          <w:p>
            <w:pPr>
              <w:jc w:val="center"/>
            </w:pPr>
            <w:r/>
            <w:r>
              <w:rPr>
                <w:rFonts w:ascii="微软雅黑" w:hAnsi="微软雅黑" w:eastAsia="微软雅黑"/>
                <w:b/>
                <w:color w:val="FFFFFF"/>
                <w:sz w:val="20"/>
              </w:rPr>
              <w:t>局限性</w:t>
            </w:r>
          </w:p>
        </w:tc>
      </w:tr>
      <w:tr>
        <w:tc>
          <w:tcPr>
            <w:tcW w:type="dxa" w:w="1701"/>
          </w:tcPr>
          <w:p>
            <w:r/>
            <w:r>
              <w:rPr>
                <w:rFonts w:ascii="宋体" w:hAnsi="宋体" w:eastAsia="宋体"/>
                <w:sz w:val="18"/>
              </w:rPr>
              <w:t>规则引擎</w:t>
            </w:r>
          </w:p>
        </w:tc>
        <w:tc>
          <w:tcPr>
            <w:tcW w:type="dxa" w:w="1701"/>
          </w:tcPr>
          <w:p>
            <w:r/>
            <w:r>
              <w:rPr>
                <w:rFonts w:ascii="宋体" w:hAnsi="宋体" w:eastAsia="宋体"/>
                <w:sz w:val="18"/>
              </w:rPr>
              <w:t>IF-THEN 规则库</w:t>
            </w:r>
          </w:p>
        </w:tc>
        <w:tc>
          <w:tcPr>
            <w:tcW w:type="dxa" w:w="2268"/>
          </w:tcPr>
          <w:p>
            <w:r/>
            <w:r>
              <w:rPr>
                <w:rFonts w:ascii="宋体" w:hAnsi="宋体" w:eastAsia="宋体"/>
                <w:sz w:val="18"/>
              </w:rPr>
              <w:t>可解释性强、执行快</w:t>
            </w:r>
          </w:p>
        </w:tc>
        <w:tc>
          <w:tcPr>
            <w:tcW w:type="dxa" w:w="2835"/>
          </w:tcPr>
          <w:p>
            <w:r/>
            <w:r>
              <w:rPr>
                <w:rFonts w:ascii="宋体" w:hAnsi="宋体" w:eastAsia="宋体"/>
                <w:sz w:val="18"/>
              </w:rPr>
              <w:t>无法个性化、难以处理复杂约束交互</w:t>
            </w:r>
          </w:p>
        </w:tc>
      </w:tr>
      <w:tr>
        <w:tc>
          <w:tcPr>
            <w:tcW w:type="dxa" w:w="1701"/>
          </w:tcPr>
          <w:p>
            <w:r/>
            <w:r>
              <w:rPr>
                <w:rFonts w:ascii="宋体" w:hAnsi="宋体" w:eastAsia="宋体"/>
                <w:sz w:val="18"/>
              </w:rPr>
              <w:t>传统 ML</w:t>
            </w:r>
          </w:p>
        </w:tc>
        <w:tc>
          <w:tcPr>
            <w:tcW w:type="dxa" w:w="1701"/>
          </w:tcPr>
          <w:p>
            <w:r/>
            <w:r>
              <w:rPr>
                <w:rFonts w:ascii="宋体" w:hAnsi="宋体" w:eastAsia="宋体"/>
                <w:sz w:val="18"/>
              </w:rPr>
              <w:t>协同过滤、决策树</w:t>
            </w:r>
          </w:p>
        </w:tc>
        <w:tc>
          <w:tcPr>
            <w:tcW w:type="dxa" w:w="2268"/>
          </w:tcPr>
          <w:p>
            <w:r/>
            <w:r>
              <w:rPr>
                <w:rFonts w:ascii="宋体" w:hAnsi="宋体" w:eastAsia="宋体"/>
                <w:sz w:val="18"/>
              </w:rPr>
              <w:t>可从数据学习</w:t>
            </w:r>
          </w:p>
        </w:tc>
        <w:tc>
          <w:tcPr>
            <w:tcW w:type="dxa" w:w="2835"/>
          </w:tcPr>
          <w:p>
            <w:r/>
            <w:r>
              <w:rPr>
                <w:rFonts w:ascii="宋体" w:hAnsi="宋体" w:eastAsia="宋体"/>
                <w:sz w:val="18"/>
              </w:rPr>
              <w:t>需要大量标注数据、无法理解语义</w:t>
            </w:r>
          </w:p>
        </w:tc>
      </w:tr>
      <w:tr>
        <w:tc>
          <w:tcPr>
            <w:tcW w:type="dxa" w:w="1701"/>
          </w:tcPr>
          <w:p>
            <w:r/>
            <w:r>
              <w:rPr>
                <w:rFonts w:ascii="宋体" w:hAnsi="宋体" w:eastAsia="宋体"/>
                <w:sz w:val="18"/>
              </w:rPr>
              <w:t>LLM 直接生成</w:t>
            </w:r>
          </w:p>
        </w:tc>
        <w:tc>
          <w:tcPr>
            <w:tcW w:type="dxa" w:w="1701"/>
          </w:tcPr>
          <w:p>
            <w:r/>
            <w:r>
              <w:rPr>
                <w:rFonts w:ascii="宋体" w:hAnsi="宋体" w:eastAsia="宋体"/>
                <w:sz w:val="18"/>
              </w:rPr>
              <w:t>GPT/Claude 提示工程</w:t>
            </w:r>
          </w:p>
        </w:tc>
        <w:tc>
          <w:tcPr>
            <w:tcW w:type="dxa" w:w="2268"/>
          </w:tcPr>
          <w:p>
            <w:r/>
            <w:r>
              <w:rPr>
                <w:rFonts w:ascii="宋体" w:hAnsi="宋体" w:eastAsia="宋体"/>
                <w:sz w:val="18"/>
              </w:rPr>
              <w:t>理解自然语言、生成灵活</w:t>
            </w:r>
          </w:p>
        </w:tc>
        <w:tc>
          <w:tcPr>
            <w:tcW w:type="dxa" w:w="2835"/>
          </w:tcPr>
          <w:p>
            <w:r/>
            <w:r>
              <w:rPr>
                <w:rFonts w:ascii="宋体" w:hAnsi="宋体" w:eastAsia="宋体"/>
                <w:sz w:val="18"/>
              </w:rPr>
              <w:t>无法从经验学习、可能生成不安全处方</w:t>
            </w:r>
          </w:p>
        </w:tc>
      </w:tr>
      <w:tr>
        <w:tc>
          <w:tcPr>
            <w:tcW w:type="dxa" w:w="1701"/>
          </w:tcPr>
          <w:p>
            <w:r/>
            <w:r>
              <w:rPr>
                <w:rFonts w:ascii="宋体" w:hAnsi="宋体" w:eastAsia="宋体"/>
                <w:sz w:val="18"/>
              </w:rPr>
              <w:t>RLHF 微调</w:t>
            </w:r>
          </w:p>
        </w:tc>
        <w:tc>
          <w:tcPr>
            <w:tcW w:type="dxa" w:w="1701"/>
          </w:tcPr>
          <w:p>
            <w:r/>
            <w:r>
              <w:rPr>
                <w:rFonts w:ascii="宋体" w:hAnsi="宋体" w:eastAsia="宋体"/>
                <w:sz w:val="18"/>
              </w:rPr>
              <w:t>PPO/DPO 微调 LLM</w:t>
            </w:r>
          </w:p>
        </w:tc>
        <w:tc>
          <w:tcPr>
            <w:tcW w:type="dxa" w:w="2268"/>
          </w:tcPr>
          <w:p>
            <w:r/>
            <w:r>
              <w:rPr>
                <w:rFonts w:ascii="宋体" w:hAnsi="宋体" w:eastAsia="宋体"/>
                <w:sz w:val="18"/>
              </w:rPr>
              <w:t>可优化特定目标</w:t>
            </w:r>
          </w:p>
        </w:tc>
        <w:tc>
          <w:tcPr>
            <w:tcW w:type="dxa" w:w="2835"/>
          </w:tcPr>
          <w:p>
            <w:r/>
            <w:r>
              <w:rPr>
                <w:rFonts w:ascii="宋体" w:hAnsi="宋体" w:eastAsia="宋体"/>
                <w:sz w:val="18"/>
              </w:rPr>
              <w:t>需要梯度更新、计算成本高、难以实时</w:t>
            </w:r>
          </w:p>
        </w:tc>
      </w:tr>
    </w:tbl>
    <w:p>
      <w:pPr>
        <w:spacing w:line="360" w:lineRule="auto" w:after="120"/>
        <w:ind w:firstLine="420"/>
      </w:pPr>
      <w:r>
        <w:rPr>
          <w:rFonts w:ascii="宋体" w:hAnsi="宋体" w:eastAsia="宋体"/>
          <w:b w:val="0"/>
          <w:sz w:val="22"/>
        </w:rPr>
        <w:t>JitRL 框架突破了上述局限：它利用 LLM 的语义理解能力生成候选动作，同时通过非参数记忆库和闭式策略更新实现持续学习，完全无需梯度更新，可以在推理阶段即时优化策略。</w:t>
      </w:r>
    </w:p>
    <w:p>
      <w:pPr>
        <w:pStyle w:val="Heading2"/>
      </w:pPr>
      <w:r>
        <w:rPr>
          <w:rFonts w:ascii="微软雅黑" w:hAnsi="微软雅黑" w:eastAsia="微软雅黑"/>
          <w:color w:val="374151"/>
          <w:sz w:val="32"/>
        </w:rPr>
        <w:t>2.3 业务挑战</w:t>
      </w:r>
    </w:p>
    <w:p>
      <w:pPr>
        <w:spacing w:line="360" w:lineRule="auto" w:after="120"/>
        <w:ind w:firstLine="420"/>
      </w:pPr>
      <w:r>
        <w:rPr>
          <w:rFonts w:ascii="宋体" w:hAnsi="宋体" w:eastAsia="宋体"/>
          <w:b w:val="0"/>
          <w:sz w:val="22"/>
        </w:rPr>
        <w:t>在将 JitRL 应用于运动处方场景时，需要解决以下关键业务挑战：</w:t>
      </w:r>
    </w:p>
    <w:p>
      <w:pPr>
        <w:pStyle w:val="Heading3"/>
      </w:pPr>
      <w:r>
        <w:rPr>
          <w:rFonts w:ascii="微软雅黑" w:hAnsi="微软雅黑" w:eastAsia="微软雅黑"/>
          <w:color w:val="4B5563"/>
          <w:sz w:val="26"/>
        </w:rPr>
        <w:t>2.3.1 伤病强约束的严格性</w:t>
      </w:r>
    </w:p>
    <w:p>
      <w:pPr>
        <w:spacing w:line="360" w:lineRule="auto" w:after="120"/>
        <w:ind w:firstLine="420"/>
      </w:pPr>
      <w:r>
        <w:rPr>
          <w:rFonts w:ascii="宋体" w:hAnsi="宋体" w:eastAsia="宋体"/>
          <w:b w:val="0"/>
          <w:sz w:val="22"/>
        </w:rPr>
        <w:t>运动员的伤病信息（如踝关节持续性隐痛、膝关节疼痛）对应一组严格的禁忌动作（如跳跃类、深蹲类）。这些约束是硬性的，任何违规都可能导致二次损伤。系统必须维护一个完整的伤病-动作风控知识图谱，并在处方生成的最早期阶段（优先级1）进行过滤。</w:t>
      </w:r>
    </w:p>
    <w:p>
      <w:pPr>
        <w:pStyle w:val="Heading3"/>
      </w:pPr>
      <w:r>
        <w:rPr>
          <w:rFonts w:ascii="微软雅黑" w:hAnsi="微软雅黑" w:eastAsia="微软雅黑"/>
          <w:color w:val="4B5563"/>
          <w:sz w:val="26"/>
        </w:rPr>
        <w:t>2.3.2 周期渐进的科学性</w:t>
      </w:r>
    </w:p>
    <w:p>
      <w:pPr>
        <w:spacing w:line="360" w:lineRule="auto" w:after="120"/>
        <w:ind w:firstLine="420"/>
      </w:pPr>
      <w:r>
        <w:rPr>
          <w:rFonts w:ascii="宋体" w:hAnsi="宋体" w:eastAsia="宋体"/>
          <w:b w:val="0"/>
          <w:sz w:val="22"/>
        </w:rPr>
        <w:t>科学的训练周期遵循适应期（降量）→提高期（超负荷）→稳定期（维持）的三阶段模式。系统需要根据训练总周期自动分配各阶段，并相应调整训练量（组数、次数、重量）。这要求周期控制器与1RM换算引擎、时长控制器协同工作。</w:t>
      </w:r>
    </w:p>
    <w:p>
      <w:pPr>
        <w:pStyle w:val="Heading3"/>
      </w:pPr>
      <w:r>
        <w:rPr>
          <w:rFonts w:ascii="微软雅黑" w:hAnsi="微软雅黑" w:eastAsia="微软雅黑"/>
          <w:color w:val="4B5563"/>
          <w:sz w:val="26"/>
        </w:rPr>
        <w:t>2.3.3 个性化的持续学习</w:t>
      </w:r>
    </w:p>
    <w:p>
      <w:pPr>
        <w:spacing w:line="360" w:lineRule="auto" w:after="120"/>
        <w:ind w:firstLine="420"/>
      </w:pPr>
      <w:r>
        <w:rPr>
          <w:rFonts w:ascii="宋体" w:hAnsi="宋体" w:eastAsia="宋体"/>
          <w:b w:val="0"/>
          <w:sz w:val="22"/>
        </w:rPr>
        <w:t>不同运动员对同一动作的完成率差异巨大（如样例中张三的徒手深蹲完成率仅0.5，而平板支撑完成率1.0）。系统需要从历史执行记录中学习，调整未来处方的难度和负荷。JitRL 的记忆库机制天然支持这种持续学习——每次生成的处方及其执行反馈都会被存入记忆库，影响后续决策。</w:t>
      </w:r>
    </w:p>
    <w:p>
      <w:pPr>
        <w:pStyle w:val="Heading3"/>
      </w:pPr>
      <w:r>
        <w:rPr>
          <w:rFonts w:ascii="微软雅黑" w:hAnsi="微软雅黑" w:eastAsia="微软雅黑"/>
          <w:color w:val="4B5563"/>
          <w:sz w:val="26"/>
        </w:rPr>
        <w:t>2.3.4 多约束的优先级协调</w:t>
      </w:r>
    </w:p>
    <w:p>
      <w:pPr>
        <w:spacing w:line="360" w:lineRule="auto" w:after="120"/>
        <w:ind w:firstLine="420"/>
      </w:pPr>
      <w:r>
        <w:rPr>
          <w:rFonts w:ascii="宋体" w:hAnsi="宋体" w:eastAsia="宋体"/>
          <w:b w:val="0"/>
          <w:sz w:val="22"/>
        </w:rPr>
        <w:t>六级约束之间存在复杂的交互关系。例如，动作风控过滤器移除了伤病禁忌动作后，可能导致某体能素质的训练频次不足（触发体能调度器警告）；1RM换算引擎计算的重量可能超过单日时长限制（触发时长控制器裁剪）。系统需要明确的优先级体系和冲突解决机制。</w:t>
      </w:r>
    </w:p>
    <w:p>
      <w:r>
        <w:br w:type="page"/>
      </w:r>
    </w:p>
    <w:p>
      <w:pPr>
        <w:pStyle w:val="Heading1"/>
      </w:pPr>
      <w:r>
        <w:rPr>
          <w:rFonts w:ascii="微软雅黑" w:hAnsi="微软雅黑" w:eastAsia="微软雅黑"/>
          <w:color w:val="2563EB"/>
          <w:sz w:val="40"/>
        </w:rPr>
        <w:t>3. JitRL 技术原理与论文复现</w:t>
      </w:r>
    </w:p>
    <w:p>
      <w:pPr>
        <w:pStyle w:val="Heading2"/>
      </w:pPr>
      <w:r>
        <w:rPr>
          <w:rFonts w:ascii="微软雅黑" w:hAnsi="微软雅黑" w:eastAsia="微软雅黑"/>
          <w:color w:val="374151"/>
          <w:sz w:val="32"/>
        </w:rPr>
        <w:t>3.1 JitRL 论文核心思想</w:t>
      </w:r>
    </w:p>
    <w:p>
      <w:pPr>
        <w:spacing w:line="360" w:lineRule="auto" w:after="120"/>
        <w:ind w:firstLine="420"/>
      </w:pPr>
      <w:r>
        <w:rPr>
          <w:rFonts w:ascii="宋体" w:hAnsi="宋体" w:eastAsia="宋体"/>
          <w:b w:val="0"/>
          <w:sz w:val="22"/>
        </w:rPr>
        <w:t>JitRL（Just-in-Time Reinforcement Learning）由 Liu 等人在 ICML 2026 提出，论文标题为《JitRL: Just-in-Time Reinforcement Learning for LLM Agents》。其核心思想是：在 LLM Agent 的推理阶段，通过检索历史经验、估计动作价值、闭式更新策略，实现即时的策略优化，无需任何梯度反向传播。</w:t>
      </w:r>
    </w:p>
    <w:p>
      <w:pPr>
        <w:spacing w:line="360" w:lineRule="auto" w:after="120"/>
        <w:ind w:firstLine="420"/>
      </w:pPr>
      <w:r>
        <w:rPr>
          <w:rFonts w:ascii="宋体" w:hAnsi="宋体" w:eastAsia="宋体"/>
          <w:b w:val="0"/>
          <w:sz w:val="22"/>
        </w:rPr>
        <w:t>传统 RLHF（如 PPO）需要在训练阶段通过梯度更新优化策略网络，计算成本高昂且难以实时进行。JitRL 将策略优化推迟到推理阶段，利用非参数化的记忆库和闭式更新规则，实现了"即用即学"的持续学习范式。</w:t>
      </w:r>
    </w:p>
    <w:p>
      <w:pPr>
        <w:pStyle w:val="Heading2"/>
      </w:pPr>
      <w:r>
        <w:rPr>
          <w:rFonts w:ascii="微软雅黑" w:hAnsi="微软雅黑" w:eastAsia="微软雅黑"/>
          <w:color w:val="374151"/>
          <w:sz w:val="32"/>
        </w:rPr>
        <w:t>3.2 核心算法流程</w:t>
      </w:r>
    </w:p>
    <w:p>
      <w:pPr>
        <w:spacing w:line="360" w:lineRule="auto" w:after="120"/>
        <w:ind w:firstLine="420"/>
      </w:pPr>
      <w:r>
        <w:rPr>
          <w:rFonts w:ascii="宋体" w:hAnsi="宋体" w:eastAsia="宋体"/>
          <w:b w:val="0"/>
          <w:sz w:val="22"/>
        </w:rPr>
        <w:t>JitRL 的核心算法（论文 Algorithm 1）包含以下步骤：</w:t>
      </w:r>
    </w:p>
    <w:p>
      <w:pPr>
        <w:jc w:val="center"/>
      </w:pPr>
      <w:r>
        <w:drawing>
          <wp:inline xmlns:a="http://schemas.openxmlformats.org/drawingml/2006/main" xmlns:pic="http://schemas.openxmlformats.org/drawingml/2006/picture">
            <wp:extent cx="5486400" cy="7065220"/>
            <wp:docPr id="1" name="Picture 1"/>
            <wp:cNvGraphicFramePr>
              <a:graphicFrameLocks noChangeAspect="1"/>
            </wp:cNvGraphicFramePr>
            <a:graphic>
              <a:graphicData uri="http://schemas.openxmlformats.org/drawingml/2006/picture">
                <pic:pic>
                  <pic:nvPicPr>
                    <pic:cNvPr id="0" name="02_jitrl_flow.png"/>
                    <pic:cNvPicPr/>
                  </pic:nvPicPr>
                  <pic:blipFill>
                    <a:blip r:embed="rId9"/>
                    <a:stretch>
                      <a:fillRect/>
                    </a:stretch>
                  </pic:blipFill>
                  <pic:spPr>
                    <a:xfrm>
                      <a:off x="0" y="0"/>
                      <a:ext cx="5486400" cy="7065220"/>
                    </a:xfrm>
                    <a:prstGeom prst="rect"/>
                  </pic:spPr>
                </pic:pic>
              </a:graphicData>
            </a:graphic>
          </wp:inline>
        </w:drawing>
      </w:r>
    </w:p>
    <w:p>
      <w:pPr>
        <w:jc w:val="center"/>
      </w:pPr>
      <w:r>
        <w:rPr>
          <w:rFonts w:ascii="宋体" w:hAnsi="宋体" w:eastAsia="宋体"/>
          <w:i/>
          <w:color w:val="6B7280"/>
          <w:sz w:val="18"/>
        </w:rPr>
        <w:t>图3-1 JitRL 算法流程图</w:t>
      </w:r>
    </w:p>
    <w:p>
      <w:pPr>
        <w:spacing w:line="360" w:lineRule="auto" w:after="120"/>
        <w:ind w:firstLine="420"/>
      </w:pPr>
      <w:r>
        <w:rPr>
          <w:rFonts w:ascii="宋体" w:hAnsi="宋体" w:eastAsia="宋体"/>
          <w:b w:val="0"/>
          <w:sz w:val="22"/>
        </w:rPr>
        <w:t>算法的详细步骤如下：</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680"/>
            <w:shd w:fill="2563EB"/>
          </w:tcPr>
          <w:p>
            <w:pPr>
              <w:jc w:val="center"/>
            </w:pPr>
            <w:r/>
            <w:r>
              <w:rPr>
                <w:rFonts w:ascii="微软雅黑" w:hAnsi="微软雅黑" w:eastAsia="微软雅黑"/>
                <w:b/>
                <w:color w:val="FFFFFF"/>
                <w:sz w:val="20"/>
              </w:rPr>
              <w:t>步骤</w:t>
            </w:r>
          </w:p>
        </w:tc>
        <w:tc>
          <w:tcPr>
            <w:tcW w:type="dxa" w:w="1701"/>
            <w:shd w:fill="2563EB"/>
          </w:tcPr>
          <w:p>
            <w:pPr>
              <w:jc w:val="center"/>
            </w:pPr>
            <w:r/>
            <w:r>
              <w:rPr>
                <w:rFonts w:ascii="微软雅黑" w:hAnsi="微软雅黑" w:eastAsia="微软雅黑"/>
                <w:b/>
                <w:color w:val="FFFFFF"/>
                <w:sz w:val="20"/>
              </w:rPr>
              <w:t>操作</w:t>
            </w:r>
          </w:p>
        </w:tc>
        <w:tc>
          <w:tcPr>
            <w:tcW w:type="dxa" w:w="2268"/>
            <w:shd w:fill="2563EB"/>
          </w:tcPr>
          <w:p>
            <w:pPr>
              <w:jc w:val="center"/>
            </w:pPr>
            <w:r/>
            <w:r>
              <w:rPr>
                <w:rFonts w:ascii="微软雅黑" w:hAnsi="微软雅黑" w:eastAsia="微软雅黑"/>
                <w:b/>
                <w:color w:val="FFFFFF"/>
                <w:sz w:val="20"/>
              </w:rPr>
              <w:t>公式</w:t>
            </w:r>
          </w:p>
        </w:tc>
        <w:tc>
          <w:tcPr>
            <w:tcW w:type="dxa" w:w="2835"/>
            <w:shd w:fill="2563EB"/>
          </w:tcPr>
          <w:p>
            <w:pPr>
              <w:jc w:val="center"/>
            </w:pPr>
            <w:r/>
            <w:r>
              <w:rPr>
                <w:rFonts w:ascii="微软雅黑" w:hAnsi="微软雅黑" w:eastAsia="微软雅黑"/>
                <w:b/>
                <w:color w:val="FFFFFF"/>
                <w:sz w:val="20"/>
              </w:rPr>
              <w:t>说明</w:t>
            </w:r>
          </w:p>
        </w:tc>
      </w:tr>
      <w:tr>
        <w:tc>
          <w:tcPr>
            <w:tcW w:type="dxa" w:w="680"/>
          </w:tcPr>
          <w:p>
            <w:r/>
            <w:r>
              <w:rPr>
                <w:rFonts w:ascii="宋体" w:hAnsi="宋体" w:eastAsia="宋体"/>
                <w:sz w:val="18"/>
              </w:rPr>
              <w:t>1</w:t>
            </w:r>
          </w:p>
        </w:tc>
        <w:tc>
          <w:tcPr>
            <w:tcW w:type="dxa" w:w="1701"/>
          </w:tcPr>
          <w:p>
            <w:r/>
            <w:r>
              <w:rPr>
                <w:rFonts w:ascii="宋体" w:hAnsi="宋体" w:eastAsia="宋体"/>
                <w:sz w:val="18"/>
              </w:rPr>
              <w:t>状态编码</w:t>
            </w:r>
          </w:p>
        </w:tc>
        <w:tc>
          <w:tcPr>
            <w:tcW w:type="dxa" w:w="2268"/>
          </w:tcPr>
          <w:p>
            <w:r/>
            <w:r>
              <w:rPr>
                <w:rFonts w:ascii="宋体" w:hAnsi="宋体" w:eastAsia="宋体"/>
                <w:sz w:val="18"/>
              </w:rPr>
              <w:t>s = Encode(input)</w:t>
            </w:r>
          </w:p>
        </w:tc>
        <w:tc>
          <w:tcPr>
            <w:tcW w:type="dxa" w:w="2835"/>
          </w:tcPr>
          <w:p>
            <w:r/>
            <w:r>
              <w:rPr>
                <w:rFonts w:ascii="宋体" w:hAnsi="宋体" w:eastAsia="宋体"/>
                <w:sz w:val="18"/>
              </w:rPr>
              <w:t>将原始输入压缩为结构化状态</w:t>
            </w:r>
          </w:p>
        </w:tc>
      </w:tr>
      <w:tr>
        <w:tc>
          <w:tcPr>
            <w:tcW w:type="dxa" w:w="680"/>
          </w:tcPr>
          <w:p>
            <w:r/>
            <w:r>
              <w:rPr>
                <w:rFonts w:ascii="宋体" w:hAnsi="宋体" w:eastAsia="宋体"/>
                <w:sz w:val="18"/>
              </w:rPr>
              <w:t>2</w:t>
            </w:r>
          </w:p>
        </w:tc>
        <w:tc>
          <w:tcPr>
            <w:tcW w:type="dxa" w:w="1701"/>
          </w:tcPr>
          <w:p>
            <w:r/>
            <w:r>
              <w:rPr>
                <w:rFonts w:ascii="宋体" w:hAnsi="宋体" w:eastAsia="宋体"/>
                <w:sz w:val="18"/>
              </w:rPr>
              <w:t>记忆检索</w:t>
            </w:r>
          </w:p>
        </w:tc>
        <w:tc>
          <w:tcPr>
            <w:tcW w:type="dxa" w:w="2268"/>
          </w:tcPr>
          <w:p>
            <w:r/>
            <w:r>
              <w:rPr>
                <w:rFonts w:ascii="宋体" w:hAnsi="宋体" w:eastAsia="宋体"/>
                <w:sz w:val="18"/>
              </w:rPr>
              <w:t>N(s) = TopK(M, s, k)</w:t>
            </w:r>
          </w:p>
        </w:tc>
        <w:tc>
          <w:tcPr>
            <w:tcW w:type="dxa" w:w="2835"/>
          </w:tcPr>
          <w:p>
            <w:r/>
            <w:r>
              <w:rPr>
                <w:rFonts w:ascii="宋体" w:hAnsi="宋体" w:eastAsia="宋体"/>
                <w:sz w:val="18"/>
              </w:rPr>
              <w:t>Jaccard相似度检索k个邻居</w:t>
            </w:r>
          </w:p>
        </w:tc>
      </w:tr>
      <w:tr>
        <w:tc>
          <w:tcPr>
            <w:tcW w:type="dxa" w:w="680"/>
          </w:tcPr>
          <w:p>
            <w:r/>
            <w:r>
              <w:rPr>
                <w:rFonts w:ascii="宋体" w:hAnsi="宋体" w:eastAsia="宋体"/>
                <w:sz w:val="18"/>
              </w:rPr>
              <w:t>3</w:t>
            </w:r>
          </w:p>
        </w:tc>
        <w:tc>
          <w:tcPr>
            <w:tcW w:type="dxa" w:w="1701"/>
          </w:tcPr>
          <w:p>
            <w:r/>
            <w:r>
              <w:rPr>
                <w:rFonts w:ascii="宋体" w:hAnsi="宋体" w:eastAsia="宋体"/>
                <w:sz w:val="18"/>
              </w:rPr>
              <w:t>状态价值</w:t>
            </w:r>
          </w:p>
        </w:tc>
        <w:tc>
          <w:tcPr>
            <w:tcW w:type="dxa" w:w="2268"/>
          </w:tcPr>
          <w:p>
            <w:r/>
            <w:r>
              <w:rPr>
                <w:rFonts w:ascii="宋体" w:hAnsi="宋体" w:eastAsia="宋体"/>
                <w:sz w:val="18"/>
              </w:rPr>
              <w:t>V(s) = mean(G_i)</w:t>
            </w:r>
          </w:p>
        </w:tc>
        <w:tc>
          <w:tcPr>
            <w:tcW w:type="dxa" w:w="2835"/>
          </w:tcPr>
          <w:p>
            <w:r/>
            <w:r>
              <w:rPr>
                <w:rFonts w:ascii="宋体" w:hAnsi="宋体" w:eastAsia="宋体"/>
                <w:sz w:val="18"/>
              </w:rPr>
              <w:t>邻居回报均值作为baseline</w:t>
            </w:r>
          </w:p>
        </w:tc>
      </w:tr>
      <w:tr>
        <w:tc>
          <w:tcPr>
            <w:tcW w:type="dxa" w:w="680"/>
          </w:tcPr>
          <w:p>
            <w:r/>
            <w:r>
              <w:rPr>
                <w:rFonts w:ascii="宋体" w:hAnsi="宋体" w:eastAsia="宋体"/>
                <w:sz w:val="18"/>
              </w:rPr>
              <w:t>4</w:t>
            </w:r>
          </w:p>
        </w:tc>
        <w:tc>
          <w:tcPr>
            <w:tcW w:type="dxa" w:w="1701"/>
          </w:tcPr>
          <w:p>
            <w:r/>
            <w:r>
              <w:rPr>
                <w:rFonts w:ascii="宋体" w:hAnsi="宋体" w:eastAsia="宋体"/>
                <w:sz w:val="18"/>
              </w:rPr>
              <w:t>候选生成</w:t>
            </w:r>
          </w:p>
        </w:tc>
        <w:tc>
          <w:tcPr>
            <w:tcW w:type="dxa" w:w="2268"/>
          </w:tcPr>
          <w:p>
            <w:r/>
            <w:r>
              <w:rPr>
                <w:rFonts w:ascii="宋体" w:hAnsi="宋体" w:eastAsia="宋体"/>
                <w:sz w:val="18"/>
              </w:rPr>
              <w:t>C_LLM = LLM(s)</w:t>
            </w:r>
          </w:p>
        </w:tc>
        <w:tc>
          <w:tcPr>
            <w:tcW w:type="dxa" w:w="2835"/>
          </w:tcPr>
          <w:p>
            <w:r/>
            <w:r>
              <w:rPr>
                <w:rFonts w:ascii="宋体" w:hAnsi="宋体" w:eastAsia="宋体"/>
                <w:sz w:val="18"/>
              </w:rPr>
              <w:t>LLM生成候选动作及logits</w:t>
            </w:r>
          </w:p>
        </w:tc>
      </w:tr>
      <w:tr>
        <w:tc>
          <w:tcPr>
            <w:tcW w:type="dxa" w:w="680"/>
          </w:tcPr>
          <w:p>
            <w:r/>
            <w:r>
              <w:rPr>
                <w:rFonts w:ascii="宋体" w:hAnsi="宋体" w:eastAsia="宋体"/>
                <w:sz w:val="18"/>
              </w:rPr>
              <w:t>5</w:t>
            </w:r>
          </w:p>
        </w:tc>
        <w:tc>
          <w:tcPr>
            <w:tcW w:type="dxa" w:w="1701"/>
          </w:tcPr>
          <w:p>
            <w:r/>
            <w:r>
              <w:rPr>
                <w:rFonts w:ascii="宋体" w:hAnsi="宋体" w:eastAsia="宋体"/>
                <w:sz w:val="18"/>
              </w:rPr>
              <w:t>候选合并</w:t>
            </w:r>
          </w:p>
        </w:tc>
        <w:tc>
          <w:tcPr>
            <w:tcW w:type="dxa" w:w="2268"/>
          </w:tcPr>
          <w:p>
            <w:r/>
            <w:r>
              <w:rPr>
                <w:rFonts w:ascii="宋体" w:hAnsi="宋体" w:eastAsia="宋体"/>
                <w:sz w:val="18"/>
              </w:rPr>
              <w:t>C = C_LLM ∪ {a_i}</w:t>
            </w:r>
          </w:p>
        </w:tc>
        <w:tc>
          <w:tcPr>
            <w:tcW w:type="dxa" w:w="2835"/>
          </w:tcPr>
          <w:p>
            <w:r/>
            <w:r>
              <w:rPr>
                <w:rFonts w:ascii="宋体" w:hAnsi="宋体" w:eastAsia="宋体"/>
                <w:sz w:val="18"/>
              </w:rPr>
              <w:t>合并检索到的历史动作</w:t>
            </w:r>
          </w:p>
        </w:tc>
      </w:tr>
      <w:tr>
        <w:tc>
          <w:tcPr>
            <w:tcW w:type="dxa" w:w="680"/>
          </w:tcPr>
          <w:p>
            <w:r/>
            <w:r>
              <w:rPr>
                <w:rFonts w:ascii="宋体" w:hAnsi="宋体" w:eastAsia="宋体"/>
                <w:sz w:val="18"/>
              </w:rPr>
              <w:t>6</w:t>
            </w:r>
          </w:p>
        </w:tc>
        <w:tc>
          <w:tcPr>
            <w:tcW w:type="dxa" w:w="1701"/>
          </w:tcPr>
          <w:p>
            <w:r/>
            <w:r>
              <w:rPr>
                <w:rFonts w:ascii="宋体" w:hAnsi="宋体" w:eastAsia="宋体"/>
                <w:sz w:val="18"/>
              </w:rPr>
              <w:t>动作价值</w:t>
            </w:r>
          </w:p>
        </w:tc>
        <w:tc>
          <w:tcPr>
            <w:tcW w:type="dxa" w:w="2268"/>
          </w:tcPr>
          <w:p>
            <w:r/>
            <w:r>
              <w:rPr>
                <w:rFonts w:ascii="宋体" w:hAnsi="宋体" w:eastAsia="宋体"/>
                <w:sz w:val="18"/>
              </w:rPr>
              <w:t>Q(s,a) = mean(G_i | a_i=a)</w:t>
            </w:r>
          </w:p>
        </w:tc>
        <w:tc>
          <w:tcPr>
            <w:tcW w:type="dxa" w:w="2835"/>
          </w:tcPr>
          <w:p>
            <w:r/>
            <w:r>
              <w:rPr>
                <w:rFonts w:ascii="宋体" w:hAnsi="宋体" w:eastAsia="宋体"/>
                <w:sz w:val="18"/>
              </w:rPr>
              <w:t>未见动作用UCB探索奖励</w:t>
            </w:r>
          </w:p>
        </w:tc>
      </w:tr>
      <w:tr>
        <w:tc>
          <w:tcPr>
            <w:tcW w:type="dxa" w:w="680"/>
          </w:tcPr>
          <w:p>
            <w:r/>
            <w:r>
              <w:rPr>
                <w:rFonts w:ascii="宋体" w:hAnsi="宋体" w:eastAsia="宋体"/>
                <w:sz w:val="18"/>
              </w:rPr>
              <w:t>7</w:t>
            </w:r>
          </w:p>
        </w:tc>
        <w:tc>
          <w:tcPr>
            <w:tcW w:type="dxa" w:w="1701"/>
          </w:tcPr>
          <w:p>
            <w:r/>
            <w:r>
              <w:rPr>
                <w:rFonts w:ascii="宋体" w:hAnsi="宋体" w:eastAsia="宋体"/>
                <w:sz w:val="18"/>
              </w:rPr>
              <w:t>优势函数</w:t>
            </w:r>
          </w:p>
        </w:tc>
        <w:tc>
          <w:tcPr>
            <w:tcW w:type="dxa" w:w="2268"/>
          </w:tcPr>
          <w:p>
            <w:r/>
            <w:r>
              <w:rPr>
                <w:rFonts w:ascii="宋体" w:hAnsi="宋体" w:eastAsia="宋体"/>
                <w:sz w:val="18"/>
              </w:rPr>
              <w:t>A(s,a) = Q(s,a) - V(s)</w:t>
            </w:r>
          </w:p>
        </w:tc>
        <w:tc>
          <w:tcPr>
            <w:tcW w:type="dxa" w:w="2835"/>
          </w:tcPr>
          <w:p>
            <w:r/>
            <w:r>
              <w:rPr>
                <w:rFonts w:ascii="宋体" w:hAnsi="宋体" w:eastAsia="宋体"/>
                <w:sz w:val="18"/>
              </w:rPr>
              <w:t>相对baseline的优势</w:t>
            </w:r>
          </w:p>
        </w:tc>
      </w:tr>
      <w:tr>
        <w:tc>
          <w:tcPr>
            <w:tcW w:type="dxa" w:w="680"/>
          </w:tcPr>
          <w:p>
            <w:r/>
            <w:r>
              <w:rPr>
                <w:rFonts w:ascii="宋体" w:hAnsi="宋体" w:eastAsia="宋体"/>
                <w:sz w:val="18"/>
              </w:rPr>
              <w:t>8</w:t>
            </w:r>
          </w:p>
        </w:tc>
        <w:tc>
          <w:tcPr>
            <w:tcW w:type="dxa" w:w="1701"/>
          </w:tcPr>
          <w:p>
            <w:r/>
            <w:r>
              <w:rPr>
                <w:rFonts w:ascii="宋体" w:hAnsi="宋体" w:eastAsia="宋体"/>
                <w:sz w:val="18"/>
              </w:rPr>
              <w:t>归一化</w:t>
            </w:r>
          </w:p>
        </w:tc>
        <w:tc>
          <w:tcPr>
            <w:tcW w:type="dxa" w:w="2268"/>
          </w:tcPr>
          <w:p>
            <w:r/>
            <w:r>
              <w:rPr>
                <w:rFonts w:ascii="宋体" w:hAnsi="宋体" w:eastAsia="宋体"/>
                <w:sz w:val="18"/>
              </w:rPr>
              <w:t>Ã(s,a) = A / (max|A|+ε)</w:t>
            </w:r>
          </w:p>
        </w:tc>
        <w:tc>
          <w:tcPr>
            <w:tcW w:type="dxa" w:w="2835"/>
          </w:tcPr>
          <w:p>
            <w:r/>
            <w:r>
              <w:rPr>
                <w:rFonts w:ascii="宋体" w:hAnsi="宋体" w:eastAsia="宋体"/>
                <w:sz w:val="18"/>
              </w:rPr>
              <w:t>归一化到[-1,1]</w:t>
            </w:r>
          </w:p>
        </w:tc>
      </w:tr>
      <w:tr>
        <w:tc>
          <w:tcPr>
            <w:tcW w:type="dxa" w:w="680"/>
          </w:tcPr>
          <w:p>
            <w:r/>
            <w:r>
              <w:rPr>
                <w:rFonts w:ascii="宋体" w:hAnsi="宋体" w:eastAsia="宋体"/>
                <w:sz w:val="18"/>
              </w:rPr>
              <w:t>9</w:t>
            </w:r>
          </w:p>
        </w:tc>
        <w:tc>
          <w:tcPr>
            <w:tcW w:type="dxa" w:w="1701"/>
          </w:tcPr>
          <w:p>
            <w:r/>
            <w:r>
              <w:rPr>
                <w:rFonts w:ascii="宋体" w:hAnsi="宋体" w:eastAsia="宋体"/>
                <w:sz w:val="18"/>
              </w:rPr>
              <w:t>策略更新</w:t>
            </w:r>
          </w:p>
        </w:tc>
        <w:tc>
          <w:tcPr>
            <w:tcW w:type="dxa" w:w="2268"/>
          </w:tcPr>
          <w:p>
            <w:r/>
            <w:r>
              <w:rPr>
                <w:rFonts w:ascii="宋体" w:hAnsi="宋体" w:eastAsia="宋体"/>
                <w:sz w:val="18"/>
              </w:rPr>
              <w:t>z'(s,a) = z(s,a) + β·Ã</w:t>
            </w:r>
          </w:p>
        </w:tc>
        <w:tc>
          <w:tcPr>
            <w:tcW w:type="dxa" w:w="2835"/>
          </w:tcPr>
          <w:p>
            <w:r/>
            <w:r>
              <w:rPr>
                <w:rFonts w:ascii="宋体" w:hAnsi="宋体" w:eastAsia="宋体"/>
                <w:sz w:val="18"/>
              </w:rPr>
              <w:t>闭式更新logits</w:t>
            </w:r>
          </w:p>
        </w:tc>
      </w:tr>
      <w:tr>
        <w:tc>
          <w:tcPr>
            <w:tcW w:type="dxa" w:w="680"/>
          </w:tcPr>
          <w:p>
            <w:r/>
            <w:r>
              <w:rPr>
                <w:rFonts w:ascii="宋体" w:hAnsi="宋体" w:eastAsia="宋体"/>
                <w:sz w:val="18"/>
              </w:rPr>
              <w:t>10</w:t>
            </w:r>
          </w:p>
        </w:tc>
        <w:tc>
          <w:tcPr>
            <w:tcW w:type="dxa" w:w="1701"/>
          </w:tcPr>
          <w:p>
            <w:r/>
            <w:r>
              <w:rPr>
                <w:rFonts w:ascii="宋体" w:hAnsi="宋体" w:eastAsia="宋体"/>
                <w:sz w:val="18"/>
              </w:rPr>
              <w:t>动作采样</w:t>
            </w:r>
          </w:p>
        </w:tc>
        <w:tc>
          <w:tcPr>
            <w:tcW w:type="dxa" w:w="2268"/>
          </w:tcPr>
          <w:p>
            <w:r/>
            <w:r>
              <w:rPr>
                <w:rFonts w:ascii="宋体" w:hAnsi="宋体" w:eastAsia="宋体"/>
                <w:sz w:val="18"/>
              </w:rPr>
              <w:t>a* ~ Softmax(z')</w:t>
            </w:r>
          </w:p>
        </w:tc>
        <w:tc>
          <w:tcPr>
            <w:tcW w:type="dxa" w:w="2835"/>
          </w:tcPr>
          <w:p>
            <w:r/>
            <w:r>
              <w:rPr>
                <w:rFonts w:ascii="宋体" w:hAnsi="宋体" w:eastAsia="宋体"/>
                <w:sz w:val="18"/>
              </w:rPr>
              <w:t>从更新后的分布采样</w:t>
            </w:r>
          </w:p>
        </w:tc>
      </w:tr>
      <w:tr>
        <w:tc>
          <w:tcPr>
            <w:tcW w:type="dxa" w:w="680"/>
          </w:tcPr>
          <w:p>
            <w:r/>
            <w:r>
              <w:rPr>
                <w:rFonts w:ascii="宋体" w:hAnsi="宋体" w:eastAsia="宋体"/>
                <w:sz w:val="18"/>
              </w:rPr>
              <w:t>11</w:t>
            </w:r>
          </w:p>
        </w:tc>
        <w:tc>
          <w:tcPr>
            <w:tcW w:type="dxa" w:w="1701"/>
          </w:tcPr>
          <w:p>
            <w:r/>
            <w:r>
              <w:rPr>
                <w:rFonts w:ascii="宋体" w:hAnsi="宋体" w:eastAsia="宋体"/>
                <w:sz w:val="18"/>
              </w:rPr>
              <w:t>评估&amp;记忆</w:t>
            </w:r>
          </w:p>
        </w:tc>
        <w:tc>
          <w:tcPr>
            <w:tcW w:type="dxa" w:w="2268"/>
          </w:tcPr>
          <w:p>
            <w:r/>
            <w:r>
              <w:rPr>
                <w:rFonts w:ascii="宋体" w:hAnsi="宋体" w:eastAsia="宋体"/>
                <w:sz w:val="18"/>
              </w:rPr>
              <w:t>r = Eval(); M.add(s,a*,G)</w:t>
            </w:r>
          </w:p>
        </w:tc>
        <w:tc>
          <w:tcPr>
            <w:tcW w:type="dxa" w:w="2835"/>
          </w:tcPr>
          <w:p>
            <w:r/>
            <w:r>
              <w:rPr>
                <w:rFonts w:ascii="宋体" w:hAnsi="宋体" w:eastAsia="宋体"/>
                <w:sz w:val="18"/>
              </w:rPr>
              <w:t>评估并更新记忆库</w:t>
            </w:r>
          </w:p>
        </w:tc>
      </w:tr>
    </w:tbl>
    <w:p>
      <w:pPr>
        <w:pStyle w:val="Heading2"/>
      </w:pPr>
      <w:r>
        <w:rPr>
          <w:rFonts w:ascii="微软雅黑" w:hAnsi="微软雅黑" w:eastAsia="微软雅黑"/>
          <w:color w:val="374151"/>
          <w:sz w:val="32"/>
        </w:rPr>
        <w:t>3.3 关键技术创新</w:t>
      </w:r>
    </w:p>
    <w:p>
      <w:pPr>
        <w:pStyle w:val="Heading3"/>
      </w:pPr>
      <w:r>
        <w:rPr>
          <w:rFonts w:ascii="微软雅黑" w:hAnsi="微软雅黑" w:eastAsia="微软雅黑"/>
          <w:color w:val="4B5563"/>
          <w:sz w:val="26"/>
        </w:rPr>
        <w:t>3.3.1 非参数化记忆库</w:t>
      </w:r>
    </w:p>
    <w:p>
      <w:pPr>
        <w:spacing w:line="360" w:lineRule="auto" w:after="120"/>
        <w:ind w:firstLine="420"/>
      </w:pPr>
      <w:r>
        <w:rPr>
          <w:rFonts w:ascii="宋体" w:hAnsi="宋体" w:eastAsia="宋体"/>
          <w:b w:val="0"/>
          <w:sz w:val="22"/>
        </w:rPr>
        <w:t>JitRL 维护一个动态的、非参数化的记忆库 M，存储历史经验三元组 (s_t, a_t, G_t)，其中 G_t 是折扣回报。与参数化的价值网络不同，记忆库可以直接读写、易于调试、支持经验回放。记忆库的容量可通过 FIFO 策略控制，避免无限增长。</w:t>
      </w:r>
    </w:p>
    <w:p>
      <w:pPr>
        <w:pStyle w:val="Heading3"/>
      </w:pPr>
      <w:r>
        <w:rPr>
          <w:rFonts w:ascii="微软雅黑" w:hAnsi="微软雅黑" w:eastAsia="微软雅黑"/>
          <w:color w:val="4B5563"/>
          <w:sz w:val="26"/>
        </w:rPr>
        <w:t>3.3.2 Jaccard 相似度检索</w:t>
      </w:r>
    </w:p>
    <w:p>
      <w:pPr>
        <w:spacing w:line="360" w:lineRule="auto" w:after="120"/>
        <w:ind w:firstLine="420"/>
      </w:pPr>
      <w:r>
        <w:rPr>
          <w:rFonts w:ascii="宋体" w:hAnsi="宋体" w:eastAsia="宋体"/>
          <w:b w:val="0"/>
          <w:sz w:val="22"/>
        </w:rPr>
        <w:t>给定当前状态 s，JitRL 使用 Jaccard 相似度在记忆库中检索 top-k 最相似的邻居 N(s)。Jaccard 相似度定义为 |A ∩ B| / |A ∪ B|，其中 A、B 是状态的特征集合（短板、伤病、目标、强度等）。这种基于集合的相似度计算高效且可解释，适合结构化状态表示。</w:t>
      </w:r>
    </w:p>
    <w:p>
      <w:pPr>
        <w:pStyle w:val="Heading3"/>
      </w:pPr>
      <w:r>
        <w:rPr>
          <w:rFonts w:ascii="微软雅黑" w:hAnsi="微软雅黑" w:eastAsia="微软雅黑"/>
          <w:color w:val="4B5563"/>
          <w:sz w:val="26"/>
        </w:rPr>
        <w:t>3.3.3 闭式策略更新</w:t>
      </w:r>
    </w:p>
    <w:p>
      <w:pPr>
        <w:spacing w:line="360" w:lineRule="auto" w:after="120"/>
        <w:ind w:firstLine="420"/>
      </w:pPr>
      <w:r>
        <w:rPr>
          <w:rFonts w:ascii="宋体" w:hAnsi="宋体" w:eastAsia="宋体"/>
          <w:b w:val="0"/>
          <w:sz w:val="22"/>
        </w:rPr>
        <w:t>JitRL 的核心创新是闭式策略更新规则：z'(s, a) = z(s, a) + β · Ã(s, a)。论文理论部分证明，这个加性更新规则是 KL 约束策略优化目标的精确闭式解，即：最大化 Σ_a π'(a|s) · A(s,a)，约束条件为 KL(π' || π) ≤ δ。这意味着 JitRL 在数学上等价于一步 KL 约束的策略梯度更新，但完全无需梯度计算。</w:t>
      </w:r>
    </w:p>
    <w:p>
      <w:pPr>
        <w:pStyle w:val="Heading3"/>
      </w:pPr>
      <w:r>
        <w:rPr>
          <w:rFonts w:ascii="微软雅黑" w:hAnsi="微软雅黑" w:eastAsia="微软雅黑"/>
          <w:color w:val="4B5563"/>
          <w:sz w:val="26"/>
        </w:rPr>
        <w:t>3.3.4 UCB 探索奖励</w:t>
      </w:r>
    </w:p>
    <w:p>
      <w:pPr>
        <w:spacing w:line="360" w:lineRule="auto" w:after="120"/>
        <w:ind w:firstLine="420"/>
      </w:pPr>
      <w:r>
        <w:rPr>
          <w:rFonts w:ascii="宋体" w:hAnsi="宋体" w:eastAsia="宋体"/>
          <w:b w:val="0"/>
          <w:sz w:val="22"/>
        </w:rPr>
        <w:t>对于记忆库中未见过的动作，JitRL 使用 UCB（Upper Confidence Bound）风格的探索奖励：Q(s,a) = V(s) + α/|N(s)|。这鼓励智能体探索新动作，避免陷入局部最优。探索率 λ 控制探索的强度，论文推荐 WebArena 取 0.05，Jericho 取 0.65，运动处方场景取 0.15。</w:t>
      </w:r>
    </w:p>
    <w:p>
      <w:pPr>
        <w:pStyle w:val="Heading2"/>
      </w:pPr>
      <w:r>
        <w:rPr>
          <w:rFonts w:ascii="微软雅黑" w:hAnsi="微软雅黑" w:eastAsia="微软雅黑"/>
          <w:color w:val="374151"/>
          <w:sz w:val="32"/>
        </w:rPr>
        <w:t>3.4 超参数配置</w:t>
      </w:r>
    </w:p>
    <w:p>
      <w:pPr>
        <w:spacing w:line="360" w:lineRule="auto" w:after="120"/>
        <w:ind w:firstLine="420"/>
      </w:pPr>
      <w:r>
        <w:rPr>
          <w:rFonts w:ascii="宋体" w:hAnsi="宋体" w:eastAsia="宋体"/>
          <w:b w:val="0"/>
          <w:sz w:val="22"/>
        </w:rPr>
        <w:t>本项目复现论文 Appendix H 推荐的超参数配置，并针对运动处方场景进行了调整：</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417"/>
            <w:shd w:fill="2563EB"/>
          </w:tcPr>
          <w:p>
            <w:pPr>
              <w:jc w:val="center"/>
            </w:pPr>
            <w:r/>
            <w:r>
              <w:rPr>
                <w:rFonts w:ascii="微软雅黑" w:hAnsi="微软雅黑" w:eastAsia="微软雅黑"/>
                <w:b/>
                <w:color w:val="FFFFFF"/>
                <w:sz w:val="20"/>
              </w:rPr>
              <w:t>超参数</w:t>
            </w:r>
          </w:p>
        </w:tc>
        <w:tc>
          <w:tcPr>
            <w:tcW w:type="dxa" w:w="567"/>
            <w:shd w:fill="2563EB"/>
          </w:tcPr>
          <w:p>
            <w:pPr>
              <w:jc w:val="center"/>
            </w:pPr>
            <w:r/>
            <w:r>
              <w:rPr>
                <w:rFonts w:ascii="微软雅黑" w:hAnsi="微软雅黑" w:eastAsia="微软雅黑"/>
                <w:b/>
                <w:color w:val="FFFFFF"/>
                <w:sz w:val="20"/>
              </w:rPr>
              <w:t>符号</w:t>
            </w:r>
          </w:p>
        </w:tc>
        <w:tc>
          <w:tcPr>
            <w:tcW w:type="dxa" w:w="1417"/>
            <w:shd w:fill="2563EB"/>
          </w:tcPr>
          <w:p>
            <w:pPr>
              <w:jc w:val="center"/>
            </w:pPr>
            <w:r/>
            <w:r>
              <w:rPr>
                <w:rFonts w:ascii="微软雅黑" w:hAnsi="微软雅黑" w:eastAsia="微软雅黑"/>
                <w:b/>
                <w:color w:val="FFFFFF"/>
                <w:sz w:val="20"/>
              </w:rPr>
              <w:t>论文推荐值</w:t>
            </w:r>
          </w:p>
        </w:tc>
        <w:tc>
          <w:tcPr>
            <w:tcW w:type="dxa" w:w="1134"/>
            <w:shd w:fill="2563EB"/>
          </w:tcPr>
          <w:p>
            <w:pPr>
              <w:jc w:val="center"/>
            </w:pPr>
            <w:r/>
            <w:r>
              <w:rPr>
                <w:rFonts w:ascii="微软雅黑" w:hAnsi="微软雅黑" w:eastAsia="微软雅黑"/>
                <w:b/>
                <w:color w:val="FFFFFF"/>
                <w:sz w:val="20"/>
              </w:rPr>
              <w:t>本项目值</w:t>
            </w:r>
          </w:p>
        </w:tc>
        <w:tc>
          <w:tcPr>
            <w:tcW w:type="dxa" w:w="2835"/>
            <w:shd w:fill="2563EB"/>
          </w:tcPr>
          <w:p>
            <w:pPr>
              <w:jc w:val="center"/>
            </w:pPr>
            <w:r/>
            <w:r>
              <w:rPr>
                <w:rFonts w:ascii="微软雅黑" w:hAnsi="微软雅黑" w:eastAsia="微软雅黑"/>
                <w:b/>
                <w:color w:val="FFFFFF"/>
                <w:sz w:val="20"/>
              </w:rPr>
              <w:t>说明</w:t>
            </w:r>
          </w:p>
        </w:tc>
      </w:tr>
      <w:tr>
        <w:tc>
          <w:tcPr>
            <w:tcW w:type="dxa" w:w="1417"/>
          </w:tcPr>
          <w:p>
            <w:r/>
            <w:r>
              <w:rPr>
                <w:rFonts w:ascii="宋体" w:hAnsi="宋体" w:eastAsia="宋体"/>
                <w:sz w:val="18"/>
              </w:rPr>
              <w:t>检索邻居数</w:t>
            </w:r>
          </w:p>
        </w:tc>
        <w:tc>
          <w:tcPr>
            <w:tcW w:type="dxa" w:w="567"/>
          </w:tcPr>
          <w:p>
            <w:r/>
            <w:r>
              <w:rPr>
                <w:rFonts w:ascii="宋体" w:hAnsi="宋体" w:eastAsia="宋体"/>
                <w:sz w:val="18"/>
              </w:rPr>
              <w:t>k</w:t>
            </w:r>
          </w:p>
        </w:tc>
        <w:tc>
          <w:tcPr>
            <w:tcW w:type="dxa" w:w="1417"/>
          </w:tcPr>
          <w:p>
            <w:r/>
            <w:r>
              <w:rPr>
                <w:rFonts w:ascii="宋体" w:hAnsi="宋体" w:eastAsia="宋体"/>
                <w:sz w:val="18"/>
              </w:rPr>
              <w:t>10</w:t>
            </w:r>
          </w:p>
        </w:tc>
        <w:tc>
          <w:tcPr>
            <w:tcW w:type="dxa" w:w="1134"/>
          </w:tcPr>
          <w:p>
            <w:r/>
            <w:r>
              <w:rPr>
                <w:rFonts w:ascii="宋体" w:hAnsi="宋体" w:eastAsia="宋体"/>
                <w:sz w:val="18"/>
              </w:rPr>
              <w:t>10</w:t>
            </w:r>
          </w:p>
        </w:tc>
        <w:tc>
          <w:tcPr>
            <w:tcW w:type="dxa" w:w="2835"/>
          </w:tcPr>
          <w:p>
            <w:r/>
            <w:r>
              <w:rPr>
                <w:rFonts w:ascii="宋体" w:hAnsi="宋体" w:eastAsia="宋体"/>
                <w:sz w:val="18"/>
              </w:rPr>
              <w:t>记忆库检索的top-k邻居数</w:t>
            </w:r>
          </w:p>
        </w:tc>
      </w:tr>
      <w:tr>
        <w:tc>
          <w:tcPr>
            <w:tcW w:type="dxa" w:w="1417"/>
          </w:tcPr>
          <w:p>
            <w:r/>
            <w:r>
              <w:rPr>
                <w:rFonts w:ascii="宋体" w:hAnsi="宋体" w:eastAsia="宋体"/>
                <w:sz w:val="18"/>
              </w:rPr>
              <w:t>折扣因子</w:t>
            </w:r>
          </w:p>
        </w:tc>
        <w:tc>
          <w:tcPr>
            <w:tcW w:type="dxa" w:w="567"/>
          </w:tcPr>
          <w:p>
            <w:r/>
            <w:r>
              <w:rPr>
                <w:rFonts w:ascii="宋体" w:hAnsi="宋体" w:eastAsia="宋体"/>
                <w:sz w:val="18"/>
              </w:rPr>
              <w:t>γ</w:t>
            </w:r>
          </w:p>
        </w:tc>
        <w:tc>
          <w:tcPr>
            <w:tcW w:type="dxa" w:w="1417"/>
          </w:tcPr>
          <w:p>
            <w:r/>
            <w:r>
              <w:rPr>
                <w:rFonts w:ascii="宋体" w:hAnsi="宋体" w:eastAsia="宋体"/>
                <w:sz w:val="18"/>
              </w:rPr>
              <w:t>0.1/0.5</w:t>
            </w:r>
          </w:p>
        </w:tc>
        <w:tc>
          <w:tcPr>
            <w:tcW w:type="dxa" w:w="1134"/>
          </w:tcPr>
          <w:p>
            <w:r/>
            <w:r>
              <w:rPr>
                <w:rFonts w:ascii="宋体" w:hAnsi="宋体" w:eastAsia="宋体"/>
                <w:sz w:val="18"/>
              </w:rPr>
              <w:t>0.3</w:t>
            </w:r>
          </w:p>
        </w:tc>
        <w:tc>
          <w:tcPr>
            <w:tcW w:type="dxa" w:w="2835"/>
          </w:tcPr>
          <w:p>
            <w:r/>
            <w:r>
              <w:rPr>
                <w:rFonts w:ascii="宋体" w:hAnsi="宋体" w:eastAsia="宋体"/>
                <w:sz w:val="18"/>
              </w:rPr>
              <w:t>回报折扣，处方场景取中间值</w:t>
            </w:r>
          </w:p>
        </w:tc>
      </w:tr>
      <w:tr>
        <w:tc>
          <w:tcPr>
            <w:tcW w:type="dxa" w:w="1417"/>
          </w:tcPr>
          <w:p>
            <w:r/>
            <w:r>
              <w:rPr>
                <w:rFonts w:ascii="宋体" w:hAnsi="宋体" w:eastAsia="宋体"/>
                <w:sz w:val="18"/>
              </w:rPr>
              <w:t>探索率</w:t>
            </w:r>
          </w:p>
        </w:tc>
        <w:tc>
          <w:tcPr>
            <w:tcW w:type="dxa" w:w="567"/>
          </w:tcPr>
          <w:p>
            <w:r/>
            <w:r>
              <w:rPr>
                <w:rFonts w:ascii="宋体" w:hAnsi="宋体" w:eastAsia="宋体"/>
                <w:sz w:val="18"/>
              </w:rPr>
              <w:t>λ</w:t>
            </w:r>
          </w:p>
        </w:tc>
        <w:tc>
          <w:tcPr>
            <w:tcW w:type="dxa" w:w="1417"/>
          </w:tcPr>
          <w:p>
            <w:r/>
            <w:r>
              <w:rPr>
                <w:rFonts w:ascii="宋体" w:hAnsi="宋体" w:eastAsia="宋体"/>
                <w:sz w:val="18"/>
              </w:rPr>
              <w:t>0.05/0.65</w:t>
            </w:r>
          </w:p>
        </w:tc>
        <w:tc>
          <w:tcPr>
            <w:tcW w:type="dxa" w:w="1134"/>
          </w:tcPr>
          <w:p>
            <w:r/>
            <w:r>
              <w:rPr>
                <w:rFonts w:ascii="宋体" w:hAnsi="宋体" w:eastAsia="宋体"/>
                <w:sz w:val="18"/>
              </w:rPr>
              <w:t>0.15</w:t>
            </w:r>
          </w:p>
        </w:tc>
        <w:tc>
          <w:tcPr>
            <w:tcW w:type="dxa" w:w="2835"/>
          </w:tcPr>
          <w:p>
            <w:r/>
            <w:r>
              <w:rPr>
                <w:rFonts w:ascii="宋体" w:hAnsi="宋体" w:eastAsia="宋体"/>
                <w:sz w:val="18"/>
              </w:rPr>
              <w:t>未见动作的探索概率</w:t>
            </w:r>
          </w:p>
        </w:tc>
      </w:tr>
      <w:tr>
        <w:tc>
          <w:tcPr>
            <w:tcW w:type="dxa" w:w="1417"/>
          </w:tcPr>
          <w:p>
            <w:r/>
            <w:r>
              <w:rPr>
                <w:rFonts w:ascii="宋体" w:hAnsi="宋体" w:eastAsia="宋体"/>
                <w:sz w:val="18"/>
              </w:rPr>
              <w:t>UCB奖励系数</w:t>
            </w:r>
          </w:p>
        </w:tc>
        <w:tc>
          <w:tcPr>
            <w:tcW w:type="dxa" w:w="567"/>
          </w:tcPr>
          <w:p>
            <w:r/>
            <w:r>
              <w:rPr>
                <w:rFonts w:ascii="宋体" w:hAnsi="宋体" w:eastAsia="宋体"/>
                <w:sz w:val="18"/>
              </w:rPr>
              <w:t>α</w:t>
            </w:r>
          </w:p>
        </w:tc>
        <w:tc>
          <w:tcPr>
            <w:tcW w:type="dxa" w:w="1417"/>
          </w:tcPr>
          <w:p>
            <w:r/>
            <w:r>
              <w:rPr>
                <w:rFonts w:ascii="宋体" w:hAnsi="宋体" w:eastAsia="宋体"/>
                <w:sz w:val="18"/>
              </w:rPr>
              <w:t>5.0</w:t>
            </w:r>
          </w:p>
        </w:tc>
        <w:tc>
          <w:tcPr>
            <w:tcW w:type="dxa" w:w="1134"/>
          </w:tcPr>
          <w:p>
            <w:r/>
            <w:r>
              <w:rPr>
                <w:rFonts w:ascii="宋体" w:hAnsi="宋体" w:eastAsia="宋体"/>
                <w:sz w:val="18"/>
              </w:rPr>
              <w:t>5.0</w:t>
            </w:r>
          </w:p>
        </w:tc>
        <w:tc>
          <w:tcPr>
            <w:tcW w:type="dxa" w:w="2835"/>
          </w:tcPr>
          <w:p>
            <w:r/>
            <w:r>
              <w:rPr>
                <w:rFonts w:ascii="宋体" w:hAnsi="宋体" w:eastAsia="宋体"/>
                <w:sz w:val="18"/>
              </w:rPr>
              <w:t>探索奖励强度</w:t>
            </w:r>
          </w:p>
        </w:tc>
      </w:tr>
      <w:tr>
        <w:tc>
          <w:tcPr>
            <w:tcW w:type="dxa" w:w="1417"/>
          </w:tcPr>
          <w:p>
            <w:r/>
            <w:r>
              <w:rPr>
                <w:rFonts w:ascii="宋体" w:hAnsi="宋体" w:eastAsia="宋体"/>
                <w:sz w:val="18"/>
              </w:rPr>
              <w:t>KL约束温度</w:t>
            </w:r>
          </w:p>
        </w:tc>
        <w:tc>
          <w:tcPr>
            <w:tcW w:type="dxa" w:w="567"/>
          </w:tcPr>
          <w:p>
            <w:r/>
            <w:r>
              <w:rPr>
                <w:rFonts w:ascii="宋体" w:hAnsi="宋体" w:eastAsia="宋体"/>
                <w:sz w:val="18"/>
              </w:rPr>
              <w:t>β</w:t>
            </w:r>
          </w:p>
        </w:tc>
        <w:tc>
          <w:tcPr>
            <w:tcW w:type="dxa" w:w="1417"/>
          </w:tcPr>
          <w:p>
            <w:r/>
            <w:r>
              <w:rPr>
                <w:rFonts w:ascii="宋体" w:hAnsi="宋体" w:eastAsia="宋体"/>
                <w:sz w:val="18"/>
              </w:rPr>
              <w:t>1.0</w:t>
            </w:r>
          </w:p>
        </w:tc>
        <w:tc>
          <w:tcPr>
            <w:tcW w:type="dxa" w:w="1134"/>
          </w:tcPr>
          <w:p>
            <w:r/>
            <w:r>
              <w:rPr>
                <w:rFonts w:ascii="宋体" w:hAnsi="宋体" w:eastAsia="宋体"/>
                <w:sz w:val="18"/>
              </w:rPr>
              <w:t>1.0</w:t>
            </w:r>
          </w:p>
        </w:tc>
        <w:tc>
          <w:tcPr>
            <w:tcW w:type="dxa" w:w="2835"/>
          </w:tcPr>
          <w:p>
            <w:r/>
            <w:r>
              <w:rPr>
                <w:rFonts w:ascii="宋体" w:hAnsi="宋体" w:eastAsia="宋体"/>
                <w:sz w:val="18"/>
              </w:rPr>
              <w:t>logit更新强度</w:t>
            </w:r>
          </w:p>
        </w:tc>
      </w:tr>
      <w:tr>
        <w:tc>
          <w:tcPr>
            <w:tcW w:type="dxa" w:w="1417"/>
          </w:tcPr>
          <w:p>
            <w:r/>
            <w:r>
              <w:rPr>
                <w:rFonts w:ascii="宋体" w:hAnsi="宋体" w:eastAsia="宋体"/>
                <w:sz w:val="18"/>
              </w:rPr>
              <w:t>相似度阈值</w:t>
            </w:r>
          </w:p>
        </w:tc>
        <w:tc>
          <w:tcPr>
            <w:tcW w:type="dxa" w:w="567"/>
          </w:tcPr>
          <w:p>
            <w:r/>
            <w:r>
              <w:rPr>
                <w:rFonts w:ascii="宋体" w:hAnsi="宋体" w:eastAsia="宋体"/>
                <w:sz w:val="18"/>
              </w:rPr>
              <w:t>r</w:t>
            </w:r>
          </w:p>
        </w:tc>
        <w:tc>
          <w:tcPr>
            <w:tcW w:type="dxa" w:w="1417"/>
          </w:tcPr>
          <w:p>
            <w:r/>
            <w:r>
              <w:rPr>
                <w:rFonts w:ascii="宋体" w:hAnsi="宋体" w:eastAsia="宋体"/>
                <w:sz w:val="18"/>
              </w:rPr>
              <w:t>0.8-0.95</w:t>
            </w:r>
          </w:p>
        </w:tc>
        <w:tc>
          <w:tcPr>
            <w:tcW w:type="dxa" w:w="1134"/>
          </w:tcPr>
          <w:p>
            <w:r/>
            <w:r>
              <w:rPr>
                <w:rFonts w:ascii="宋体" w:hAnsi="宋体" w:eastAsia="宋体"/>
                <w:sz w:val="18"/>
              </w:rPr>
              <w:t>0.15</w:t>
            </w:r>
          </w:p>
        </w:tc>
        <w:tc>
          <w:tcPr>
            <w:tcW w:type="dxa" w:w="2835"/>
          </w:tcPr>
          <w:p>
            <w:r/>
            <w:r>
              <w:rPr>
                <w:rFonts w:ascii="宋体" w:hAnsi="宋体" w:eastAsia="宋体"/>
                <w:sz w:val="18"/>
              </w:rPr>
              <w:t>邻居检索的最低相似度</w:t>
            </w:r>
          </w:p>
        </w:tc>
      </w:tr>
      <w:tr>
        <w:tc>
          <w:tcPr>
            <w:tcW w:type="dxa" w:w="1417"/>
          </w:tcPr>
          <w:p>
            <w:r/>
            <w:r>
              <w:rPr>
                <w:rFonts w:ascii="宋体" w:hAnsi="宋体" w:eastAsia="宋体"/>
                <w:sz w:val="18"/>
              </w:rPr>
              <w:t>优势归一化</w:t>
            </w:r>
          </w:p>
        </w:tc>
        <w:tc>
          <w:tcPr>
            <w:tcW w:type="dxa" w:w="567"/>
          </w:tcPr>
          <w:p>
            <w:r/>
            <w:r>
              <w:rPr>
                <w:rFonts w:ascii="宋体" w:hAnsi="宋体" w:eastAsia="宋体"/>
                <w:sz w:val="18"/>
              </w:rPr>
              <w:t>ε</w:t>
            </w:r>
          </w:p>
        </w:tc>
        <w:tc>
          <w:tcPr>
            <w:tcW w:type="dxa" w:w="1417"/>
          </w:tcPr>
          <w:p>
            <w:r/>
            <w:r>
              <w:rPr>
                <w:rFonts w:ascii="宋体" w:hAnsi="宋体" w:eastAsia="宋体"/>
                <w:sz w:val="18"/>
              </w:rPr>
              <w:t>1e-6</w:t>
            </w:r>
          </w:p>
        </w:tc>
        <w:tc>
          <w:tcPr>
            <w:tcW w:type="dxa" w:w="1134"/>
          </w:tcPr>
          <w:p>
            <w:r/>
            <w:r>
              <w:rPr>
                <w:rFonts w:ascii="宋体" w:hAnsi="宋体" w:eastAsia="宋体"/>
                <w:sz w:val="18"/>
              </w:rPr>
              <w:t>1e-6</w:t>
            </w:r>
          </w:p>
        </w:tc>
        <w:tc>
          <w:tcPr>
            <w:tcW w:type="dxa" w:w="2835"/>
          </w:tcPr>
          <w:p>
            <w:r/>
            <w:r>
              <w:rPr>
                <w:rFonts w:ascii="宋体" w:hAnsi="宋体" w:eastAsia="宋体"/>
                <w:sz w:val="18"/>
              </w:rPr>
              <w:t>归一化分母的平滑项</w:t>
            </w:r>
          </w:p>
        </w:tc>
      </w:tr>
      <w:tr>
        <w:tc>
          <w:tcPr>
            <w:tcW w:type="dxa" w:w="1417"/>
          </w:tcPr>
          <w:p>
            <w:r/>
            <w:r>
              <w:rPr>
                <w:rFonts w:ascii="宋体" w:hAnsi="宋体" w:eastAsia="宋体"/>
                <w:sz w:val="18"/>
              </w:rPr>
              <w:t>记忆库容量</w:t>
            </w:r>
          </w:p>
        </w:tc>
        <w:tc>
          <w:tcPr>
            <w:tcW w:type="dxa" w:w="567"/>
          </w:tcPr>
          <w:p>
            <w:r/>
            <w:r>
              <w:rPr>
                <w:rFonts w:ascii="宋体" w:hAnsi="宋体" w:eastAsia="宋体"/>
                <w:sz w:val="18"/>
              </w:rPr>
              <w:t>|M|</w:t>
            </w:r>
          </w:p>
        </w:tc>
        <w:tc>
          <w:tcPr>
            <w:tcW w:type="dxa" w:w="1417"/>
          </w:tcPr>
          <w:p>
            <w:r/>
            <w:r>
              <w:rPr>
                <w:rFonts w:ascii="宋体" w:hAnsi="宋体" w:eastAsia="宋体"/>
                <w:sz w:val="18"/>
              </w:rPr>
              <w:t>—</w:t>
            </w:r>
          </w:p>
        </w:tc>
        <w:tc>
          <w:tcPr>
            <w:tcW w:type="dxa" w:w="1134"/>
          </w:tcPr>
          <w:p>
            <w:r/>
            <w:r>
              <w:rPr>
                <w:rFonts w:ascii="宋体" w:hAnsi="宋体" w:eastAsia="宋体"/>
                <w:sz w:val="18"/>
              </w:rPr>
              <w:t>5000</w:t>
            </w:r>
          </w:p>
        </w:tc>
        <w:tc>
          <w:tcPr>
            <w:tcW w:type="dxa" w:w="2835"/>
          </w:tcPr>
          <w:p>
            <w:r/>
            <w:r>
              <w:rPr>
                <w:rFonts w:ascii="宋体" w:hAnsi="宋体" w:eastAsia="宋体"/>
                <w:sz w:val="18"/>
              </w:rPr>
              <w:t>FIFO淘汰上限</w:t>
            </w:r>
          </w:p>
        </w:tc>
      </w:tr>
    </w:tbl>
    <w:p>
      <w:pPr>
        <w:spacing w:line="360" w:lineRule="auto" w:after="120"/>
        <w:ind w:firstLine="420"/>
      </w:pPr>
      <w:r>
        <w:rPr>
          <w:rFonts w:ascii="宋体" w:hAnsi="宋体" w:eastAsia="宋体"/>
          <w:b w:val="0"/>
          <w:sz w:val="22"/>
        </w:rPr>
        <w:t>说明：相似度阈值 r 在论文中推荐 0.8-0.95（针对 WebArena/Jericho 的稀疏状态），但运动处方场景的状态特征更密集（短板、伤病、目标等多维集合），Jaccard 相似度天然较低，因此调整为 0.15 以保证足够的检索召回率。</w:t>
      </w:r>
    </w:p>
    <w:p>
      <w:r>
        <w:br w:type="page"/>
      </w:r>
    </w:p>
    <w:p>
      <w:pPr>
        <w:pStyle w:val="Heading1"/>
      </w:pPr>
      <w:r>
        <w:rPr>
          <w:rFonts w:ascii="微软雅黑" w:hAnsi="微软雅黑" w:eastAsia="微软雅黑"/>
          <w:color w:val="2563EB"/>
          <w:sz w:val="40"/>
        </w:rPr>
        <w:t>4. 系统总体解决方案</w:t>
      </w:r>
    </w:p>
    <w:p>
      <w:pPr>
        <w:pStyle w:val="Heading2"/>
      </w:pPr>
      <w:r>
        <w:rPr>
          <w:rFonts w:ascii="微软雅黑" w:hAnsi="微软雅黑" w:eastAsia="微软雅黑"/>
          <w:color w:val="374151"/>
          <w:sz w:val="32"/>
        </w:rPr>
        <w:t>4.1 系统架构总览</w:t>
      </w:r>
    </w:p>
    <w:p>
      <w:pPr>
        <w:spacing w:line="360" w:lineRule="auto" w:after="120"/>
        <w:ind w:firstLine="420"/>
      </w:pPr>
      <w:r>
        <w:rPr>
          <w:rFonts w:ascii="宋体" w:hAnsi="宋体" w:eastAsia="宋体"/>
          <w:b w:val="0"/>
          <w:sz w:val="22"/>
        </w:rPr>
        <w:t>本系统采用五层架构设计，自顶向下依次为：接口层、应用层、核心算法层、业务约束层、数据与配置层。各层职责清晰、解耦设计，支持独立演进和替换。</w:t>
      </w:r>
    </w:p>
    <w:p>
      <w:pPr>
        <w:jc w:val="center"/>
      </w:pPr>
      <w:r>
        <w:drawing>
          <wp:inline xmlns:a="http://schemas.openxmlformats.org/drawingml/2006/main" xmlns:pic="http://schemas.openxmlformats.org/drawingml/2006/picture">
            <wp:extent cx="5943600" cy="4072051"/>
            <wp:docPr id="2" name="Picture 2"/>
            <wp:cNvGraphicFramePr>
              <a:graphicFrameLocks noChangeAspect="1"/>
            </wp:cNvGraphicFramePr>
            <a:graphic>
              <a:graphicData uri="http://schemas.openxmlformats.org/drawingml/2006/picture">
                <pic:pic>
                  <pic:nvPicPr>
                    <pic:cNvPr id="0" name="01_architecture.png"/>
                    <pic:cNvPicPr/>
                  </pic:nvPicPr>
                  <pic:blipFill>
                    <a:blip r:embed="rId10"/>
                    <a:stretch>
                      <a:fillRect/>
                    </a:stretch>
                  </pic:blipFill>
                  <pic:spPr>
                    <a:xfrm>
                      <a:off x="0" y="0"/>
                      <a:ext cx="5943600" cy="4072051"/>
                    </a:xfrm>
                    <a:prstGeom prst="rect"/>
                  </pic:spPr>
                </pic:pic>
              </a:graphicData>
            </a:graphic>
          </wp:inline>
        </w:drawing>
      </w:r>
    </w:p>
    <w:p>
      <w:pPr>
        <w:jc w:val="center"/>
      </w:pPr>
      <w:r>
        <w:rPr>
          <w:rFonts w:ascii="宋体" w:hAnsi="宋体" w:eastAsia="宋体"/>
          <w:i/>
          <w:color w:val="6B7280"/>
          <w:sz w:val="18"/>
        </w:rPr>
        <w:t>图4-1 系统总体架构图</w:t>
      </w:r>
    </w:p>
    <w:p>
      <w:pPr>
        <w:pStyle w:val="Heading2"/>
      </w:pPr>
      <w:r>
        <w:rPr>
          <w:rFonts w:ascii="微软雅黑" w:hAnsi="微软雅黑" w:eastAsia="微软雅黑"/>
          <w:color w:val="374151"/>
          <w:sz w:val="32"/>
        </w:rPr>
        <w:t>4.2 架构分层说明</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134"/>
            <w:shd w:fill="2563EB"/>
          </w:tcPr>
          <w:p>
            <w:pPr>
              <w:jc w:val="center"/>
            </w:pPr>
            <w:r/>
            <w:r>
              <w:rPr>
                <w:rFonts w:ascii="微软雅黑" w:hAnsi="微软雅黑" w:eastAsia="微软雅黑"/>
                <w:b/>
                <w:color w:val="FFFFFF"/>
                <w:sz w:val="20"/>
              </w:rPr>
              <w:t>层级</w:t>
            </w:r>
          </w:p>
        </w:tc>
        <w:tc>
          <w:tcPr>
            <w:tcW w:type="dxa" w:w="1701"/>
            <w:shd w:fill="2563EB"/>
          </w:tcPr>
          <w:p>
            <w:pPr>
              <w:jc w:val="center"/>
            </w:pPr>
            <w:r/>
            <w:r>
              <w:rPr>
                <w:rFonts w:ascii="微软雅黑" w:hAnsi="微软雅黑" w:eastAsia="微软雅黑"/>
                <w:b/>
                <w:color w:val="FFFFFF"/>
                <w:sz w:val="20"/>
              </w:rPr>
              <w:t>模块</w:t>
            </w:r>
          </w:p>
        </w:tc>
        <w:tc>
          <w:tcPr>
            <w:tcW w:type="dxa" w:w="2835"/>
            <w:shd w:fill="2563EB"/>
          </w:tcPr>
          <w:p>
            <w:pPr>
              <w:jc w:val="center"/>
            </w:pPr>
            <w:r/>
            <w:r>
              <w:rPr>
                <w:rFonts w:ascii="微软雅黑" w:hAnsi="微软雅黑" w:eastAsia="微软雅黑"/>
                <w:b/>
                <w:color w:val="FFFFFF"/>
                <w:sz w:val="20"/>
              </w:rPr>
              <w:t>职责</w:t>
            </w:r>
          </w:p>
        </w:tc>
        <w:tc>
          <w:tcPr>
            <w:tcW w:type="dxa" w:w="2268"/>
            <w:shd w:fill="2563EB"/>
          </w:tcPr>
          <w:p>
            <w:pPr>
              <w:jc w:val="center"/>
            </w:pPr>
            <w:r/>
            <w:r>
              <w:rPr>
                <w:rFonts w:ascii="微软雅黑" w:hAnsi="微软雅黑" w:eastAsia="微软雅黑"/>
                <w:b/>
                <w:color w:val="FFFFFF"/>
                <w:sz w:val="20"/>
              </w:rPr>
              <w:t>技术栈</w:t>
            </w:r>
          </w:p>
        </w:tc>
      </w:tr>
      <w:tr>
        <w:tc>
          <w:tcPr>
            <w:tcW w:type="dxa" w:w="1134"/>
          </w:tcPr>
          <w:p>
            <w:r/>
            <w:r>
              <w:rPr>
                <w:rFonts w:ascii="宋体" w:hAnsi="宋体" w:eastAsia="宋体"/>
                <w:sz w:val="18"/>
              </w:rPr>
              <w:t>接口层</w:t>
            </w:r>
          </w:p>
        </w:tc>
        <w:tc>
          <w:tcPr>
            <w:tcW w:type="dxa" w:w="1701"/>
          </w:tcPr>
          <w:p>
            <w:r/>
            <w:r>
              <w:rPr>
                <w:rFonts w:ascii="宋体" w:hAnsi="宋体" w:eastAsia="宋体"/>
                <w:sz w:val="18"/>
              </w:rPr>
              <w:t>CLI / FastAPI</w:t>
            </w:r>
          </w:p>
        </w:tc>
        <w:tc>
          <w:tcPr>
            <w:tcW w:type="dxa" w:w="2835"/>
          </w:tcPr>
          <w:p>
            <w:r/>
            <w:r>
              <w:rPr>
                <w:rFonts w:ascii="宋体" w:hAnsi="宋体" w:eastAsia="宋体"/>
                <w:sz w:val="18"/>
              </w:rPr>
              <w:t>提供命令行和Web两种调用方式</w:t>
            </w:r>
          </w:p>
        </w:tc>
        <w:tc>
          <w:tcPr>
            <w:tcW w:type="dxa" w:w="2268"/>
          </w:tcPr>
          <w:p>
            <w:r/>
            <w:r>
              <w:rPr>
                <w:rFonts w:ascii="宋体" w:hAnsi="宋体" w:eastAsia="宋体"/>
                <w:sz w:val="18"/>
              </w:rPr>
              <w:t>Click, FastAPI, Uvicorn</w:t>
            </w:r>
          </w:p>
        </w:tc>
      </w:tr>
      <w:tr>
        <w:tc>
          <w:tcPr>
            <w:tcW w:type="dxa" w:w="1134"/>
          </w:tcPr>
          <w:p>
            <w:r/>
            <w:r>
              <w:rPr>
                <w:rFonts w:ascii="宋体" w:hAnsi="宋体" w:eastAsia="宋体"/>
                <w:sz w:val="18"/>
              </w:rPr>
              <w:t>应用层</w:t>
            </w:r>
          </w:p>
        </w:tc>
        <w:tc>
          <w:tcPr>
            <w:tcW w:type="dxa" w:w="1701"/>
          </w:tcPr>
          <w:p>
            <w:r/>
            <w:r>
              <w:rPr>
                <w:rFonts w:ascii="宋体" w:hAnsi="宋体" w:eastAsia="宋体"/>
                <w:sz w:val="18"/>
              </w:rPr>
              <w:t>PrescriptionGenerator</w:t>
            </w:r>
          </w:p>
        </w:tc>
        <w:tc>
          <w:tcPr>
            <w:tcW w:type="dxa" w:w="2835"/>
          </w:tcPr>
          <w:p>
            <w:r/>
            <w:r>
              <w:rPr>
                <w:rFonts w:ascii="宋体" w:hAnsi="宋体" w:eastAsia="宋体"/>
                <w:sz w:val="18"/>
              </w:rPr>
              <w:t>编排JitRL决策和约束校验</w:t>
            </w:r>
          </w:p>
        </w:tc>
        <w:tc>
          <w:tcPr>
            <w:tcW w:type="dxa" w:w="2268"/>
          </w:tcPr>
          <w:p>
            <w:r/>
            <w:r>
              <w:rPr>
                <w:rFonts w:ascii="宋体" w:hAnsi="宋体" w:eastAsia="宋体"/>
                <w:sz w:val="18"/>
              </w:rPr>
              <w:t>Python</w:t>
            </w:r>
          </w:p>
        </w:tc>
      </w:tr>
      <w:tr>
        <w:tc>
          <w:tcPr>
            <w:tcW w:type="dxa" w:w="1134"/>
          </w:tcPr>
          <w:p>
            <w:r/>
            <w:r>
              <w:rPr>
                <w:rFonts w:ascii="宋体" w:hAnsi="宋体" w:eastAsia="宋体"/>
                <w:sz w:val="18"/>
              </w:rPr>
              <w:t>核心算法层</w:t>
            </w:r>
          </w:p>
        </w:tc>
        <w:tc>
          <w:tcPr>
            <w:tcW w:type="dxa" w:w="1701"/>
          </w:tcPr>
          <w:p>
            <w:r/>
            <w:r>
              <w:rPr>
                <w:rFonts w:ascii="宋体" w:hAnsi="宋体" w:eastAsia="宋体"/>
                <w:sz w:val="18"/>
              </w:rPr>
              <w:t>JitRL Agent</w:t>
            </w:r>
          </w:p>
        </w:tc>
        <w:tc>
          <w:tcPr>
            <w:tcW w:type="dxa" w:w="2835"/>
          </w:tcPr>
          <w:p>
            <w:r/>
            <w:r>
              <w:rPr>
                <w:rFonts w:ascii="宋体" w:hAnsi="宋体" w:eastAsia="宋体"/>
                <w:sz w:val="18"/>
              </w:rPr>
              <w:t>状态编码、检索、价值估计、策略更新</w:t>
            </w:r>
          </w:p>
        </w:tc>
        <w:tc>
          <w:tcPr>
            <w:tcW w:type="dxa" w:w="2268"/>
          </w:tcPr>
          <w:p>
            <w:r/>
            <w:r>
              <w:rPr>
                <w:rFonts w:ascii="宋体" w:hAnsi="宋体" w:eastAsia="宋体"/>
                <w:sz w:val="18"/>
              </w:rPr>
              <w:t>NumPy</w:t>
            </w:r>
          </w:p>
        </w:tc>
      </w:tr>
      <w:tr>
        <w:tc>
          <w:tcPr>
            <w:tcW w:type="dxa" w:w="1134"/>
          </w:tcPr>
          <w:p>
            <w:r/>
            <w:r>
              <w:rPr>
                <w:rFonts w:ascii="宋体" w:hAnsi="宋体" w:eastAsia="宋体"/>
                <w:sz w:val="18"/>
              </w:rPr>
              <w:t>业务约束层</w:t>
            </w:r>
          </w:p>
        </w:tc>
        <w:tc>
          <w:tcPr>
            <w:tcW w:type="dxa" w:w="1701"/>
          </w:tcPr>
          <w:p>
            <w:r/>
            <w:r>
              <w:rPr>
                <w:rFonts w:ascii="宋体" w:hAnsi="宋体" w:eastAsia="宋体"/>
                <w:sz w:val="18"/>
              </w:rPr>
              <w:t>ConstraintPipeline</w:t>
            </w:r>
          </w:p>
        </w:tc>
        <w:tc>
          <w:tcPr>
            <w:tcW w:type="dxa" w:w="2835"/>
          </w:tcPr>
          <w:p>
            <w:r/>
            <w:r>
              <w:rPr>
                <w:rFonts w:ascii="宋体" w:hAnsi="宋体" w:eastAsia="宋体"/>
                <w:sz w:val="18"/>
              </w:rPr>
              <w:t>六级约束按优先级执行</w:t>
            </w:r>
          </w:p>
        </w:tc>
        <w:tc>
          <w:tcPr>
            <w:tcW w:type="dxa" w:w="2268"/>
          </w:tcPr>
          <w:p>
            <w:r/>
            <w:r>
              <w:rPr>
                <w:rFonts w:ascii="宋体" w:hAnsi="宋体" w:eastAsia="宋体"/>
                <w:sz w:val="18"/>
              </w:rPr>
              <w:t>Python</w:t>
            </w:r>
          </w:p>
        </w:tc>
      </w:tr>
      <w:tr>
        <w:tc>
          <w:tcPr>
            <w:tcW w:type="dxa" w:w="1134"/>
          </w:tcPr>
          <w:p>
            <w:r/>
            <w:r>
              <w:rPr>
                <w:rFonts w:ascii="宋体" w:hAnsi="宋体" w:eastAsia="宋体"/>
                <w:sz w:val="18"/>
              </w:rPr>
              <w:t>数据层</w:t>
            </w:r>
          </w:p>
        </w:tc>
        <w:tc>
          <w:tcPr>
            <w:tcW w:type="dxa" w:w="1701"/>
          </w:tcPr>
          <w:p>
            <w:r/>
            <w:r>
              <w:rPr>
                <w:rFonts w:ascii="宋体" w:hAnsi="宋体" w:eastAsia="宋体"/>
                <w:sz w:val="18"/>
              </w:rPr>
              <w:t>知识库/记忆库/动作库</w:t>
            </w:r>
          </w:p>
        </w:tc>
        <w:tc>
          <w:tcPr>
            <w:tcW w:type="dxa" w:w="2835"/>
          </w:tcPr>
          <w:p>
            <w:r/>
            <w:r>
              <w:rPr>
                <w:rFonts w:ascii="宋体" w:hAnsi="宋体" w:eastAsia="宋体"/>
                <w:sz w:val="18"/>
              </w:rPr>
              <w:t>持久化存储和检索</w:t>
            </w:r>
          </w:p>
        </w:tc>
        <w:tc>
          <w:tcPr>
            <w:tcW w:type="dxa" w:w="2268"/>
          </w:tcPr>
          <w:p>
            <w:r/>
            <w:r>
              <w:rPr>
                <w:rFonts w:ascii="宋体" w:hAnsi="宋体" w:eastAsia="宋体"/>
                <w:sz w:val="18"/>
              </w:rPr>
              <w:t>JSON, Neo4j(可选)</w:t>
            </w:r>
          </w:p>
        </w:tc>
      </w:tr>
    </w:tbl>
    <w:p>
      <w:pPr>
        <w:pStyle w:val="Heading2"/>
      </w:pPr>
      <w:r>
        <w:rPr>
          <w:rFonts w:ascii="微软雅黑" w:hAnsi="微软雅黑" w:eastAsia="微软雅黑"/>
          <w:color w:val="374151"/>
          <w:sz w:val="32"/>
        </w:rPr>
        <w:t>4.3 数据流</w:t>
      </w:r>
    </w:p>
    <w:p>
      <w:pPr>
        <w:spacing w:line="360" w:lineRule="auto" w:after="120"/>
        <w:ind w:firstLine="420"/>
      </w:pPr>
      <w:r>
        <w:rPr>
          <w:rFonts w:ascii="宋体" w:hAnsi="宋体" w:eastAsia="宋体"/>
          <w:b w:val="0"/>
          <w:sz w:val="22"/>
        </w:rPr>
        <w:t>系统的数据流从输入到输出经过以下关键节点：</w:t>
      </w:r>
    </w:p>
    <w:p>
      <w:pPr>
        <w:jc w:val="center"/>
      </w:pPr>
      <w:r>
        <w:drawing>
          <wp:inline xmlns:a="http://schemas.openxmlformats.org/drawingml/2006/main" xmlns:pic="http://schemas.openxmlformats.org/drawingml/2006/picture">
            <wp:extent cx="5943600" cy="3700732"/>
            <wp:docPr id="3" name="Picture 3"/>
            <wp:cNvGraphicFramePr>
              <a:graphicFrameLocks noChangeAspect="1"/>
            </wp:cNvGraphicFramePr>
            <a:graphic>
              <a:graphicData uri="http://schemas.openxmlformats.org/drawingml/2006/picture">
                <pic:pic>
                  <pic:nvPicPr>
                    <pic:cNvPr id="0" name="05_data_flow.png"/>
                    <pic:cNvPicPr/>
                  </pic:nvPicPr>
                  <pic:blipFill>
                    <a:blip r:embed="rId11"/>
                    <a:stretch>
                      <a:fillRect/>
                    </a:stretch>
                  </pic:blipFill>
                  <pic:spPr>
                    <a:xfrm>
                      <a:off x="0" y="0"/>
                      <a:ext cx="5943600" cy="3700732"/>
                    </a:xfrm>
                    <a:prstGeom prst="rect"/>
                  </pic:spPr>
                </pic:pic>
              </a:graphicData>
            </a:graphic>
          </wp:inline>
        </w:drawing>
      </w:r>
    </w:p>
    <w:p>
      <w:pPr>
        <w:jc w:val="center"/>
      </w:pPr>
      <w:r>
        <w:rPr>
          <w:rFonts w:ascii="宋体" w:hAnsi="宋体" w:eastAsia="宋体"/>
          <w:i/>
          <w:color w:val="6B7280"/>
          <w:sz w:val="18"/>
        </w:rPr>
        <w:t>图4-2 数据流图</w:t>
      </w:r>
    </w:p>
    <w:p>
      <w:pPr>
        <w:spacing w:line="360" w:lineRule="auto" w:after="120"/>
        <w:ind w:firstLine="420"/>
      </w:pPr>
      <w:r>
        <w:rPr>
          <w:rFonts w:ascii="宋体" w:hAnsi="宋体" w:eastAsia="宋体"/>
          <w:b w:val="0"/>
          <w:sz w:val="22"/>
        </w:rPr>
        <w:t>数据流说明：原始输入首先经过状态编码器压缩为结构化状态表示；然后并行进入记忆库（检索历史经验）和LLM后端（生成候选动作）；候选动作经过价值估计和策略更新后选出最优动作；最优动作转化为处方草案后进入约束流水线校验；最终输出结构化处方并更新记忆库。</w:t>
      </w:r>
    </w:p>
    <w:p>
      <w:pPr>
        <w:pStyle w:val="Heading2"/>
      </w:pPr>
      <w:r>
        <w:rPr>
          <w:rFonts w:ascii="微软雅黑" w:hAnsi="微软雅黑" w:eastAsia="微软雅黑"/>
          <w:color w:val="374151"/>
          <w:sz w:val="32"/>
        </w:rPr>
        <w:t>4.4 部署架构</w:t>
      </w:r>
    </w:p>
    <w:p>
      <w:pPr>
        <w:jc w:val="center"/>
      </w:pPr>
      <w:r>
        <w:drawing>
          <wp:inline xmlns:a="http://schemas.openxmlformats.org/drawingml/2006/main" xmlns:pic="http://schemas.openxmlformats.org/drawingml/2006/picture">
            <wp:extent cx="5943600" cy="3700732"/>
            <wp:docPr id="4" name="Picture 4"/>
            <wp:cNvGraphicFramePr>
              <a:graphicFrameLocks noChangeAspect="1"/>
            </wp:cNvGraphicFramePr>
            <a:graphic>
              <a:graphicData uri="http://schemas.openxmlformats.org/drawingml/2006/picture">
                <pic:pic>
                  <pic:nvPicPr>
                    <pic:cNvPr id="0" name="07_deployment.png"/>
                    <pic:cNvPicPr/>
                  </pic:nvPicPr>
                  <pic:blipFill>
                    <a:blip r:embed="rId12"/>
                    <a:stretch>
                      <a:fillRect/>
                    </a:stretch>
                  </pic:blipFill>
                  <pic:spPr>
                    <a:xfrm>
                      <a:off x="0" y="0"/>
                      <a:ext cx="5943600" cy="3700732"/>
                    </a:xfrm>
                    <a:prstGeom prst="rect"/>
                  </pic:spPr>
                </pic:pic>
              </a:graphicData>
            </a:graphic>
          </wp:inline>
        </w:drawing>
      </w:r>
    </w:p>
    <w:p>
      <w:pPr>
        <w:jc w:val="center"/>
      </w:pPr>
      <w:r>
        <w:rPr>
          <w:rFonts w:ascii="宋体" w:hAnsi="宋体" w:eastAsia="宋体"/>
          <w:i/>
          <w:color w:val="6B7280"/>
          <w:sz w:val="18"/>
        </w:rPr>
        <w:t>图4-3 部署架构图</w:t>
      </w:r>
    </w:p>
    <w:p>
      <w:pPr>
        <w:spacing w:line="360" w:lineRule="auto" w:after="120"/>
        <w:ind w:firstLine="420"/>
      </w:pPr>
      <w:r>
        <w:rPr>
          <w:rFonts w:ascii="宋体" w:hAnsi="宋体" w:eastAsia="宋体"/>
          <w:b w:val="0"/>
          <w:sz w:val="22"/>
        </w:rPr>
        <w:t>系统支持三种部署模式：单机部署（默认，适合开发和小规模使用）、Docker容器化（适合标准化分发）、K8s集群（适合大规模生产）。LLM后端可独立部署为Ollama或vLLM服务，通过HTTP API调用。Neo4j知识图谱可选部署，不可用时降级到内置JSON知识库。</w:t>
      </w:r>
    </w:p>
    <w:p>
      <w:r>
        <w:br w:type="page"/>
      </w:r>
    </w:p>
    <w:p>
      <w:pPr>
        <w:pStyle w:val="Heading1"/>
      </w:pPr>
      <w:r>
        <w:rPr>
          <w:rFonts w:ascii="微软雅黑" w:hAnsi="微软雅黑" w:eastAsia="微软雅黑"/>
          <w:color w:val="2563EB"/>
          <w:sz w:val="40"/>
        </w:rPr>
        <w:t>5. 核心业务模块设计</w:t>
      </w:r>
    </w:p>
    <w:p>
      <w:pPr>
        <w:pStyle w:val="Heading2"/>
      </w:pPr>
      <w:r>
        <w:rPr>
          <w:rFonts w:ascii="微软雅黑" w:hAnsi="微软雅黑" w:eastAsia="微软雅黑"/>
          <w:color w:val="374151"/>
          <w:sz w:val="32"/>
        </w:rPr>
        <w:t>5.1 JitRL Agent 核心模块</w:t>
      </w:r>
    </w:p>
    <w:p>
      <w:pPr>
        <w:spacing w:line="360" w:lineRule="auto" w:after="120"/>
        <w:ind w:firstLine="420"/>
      </w:pPr>
      <w:r>
        <w:rPr>
          <w:rFonts w:ascii="宋体" w:hAnsi="宋体" w:eastAsia="宋体"/>
          <w:b w:val="0"/>
          <w:sz w:val="22"/>
        </w:rPr>
        <w:t>JitRL Agent 是系统的核心决策模块，完整实现论文 Algorithm 1 的主循环。该模块包含以下子组件：</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417"/>
            <w:shd w:fill="2563EB"/>
          </w:tcPr>
          <w:p>
            <w:pPr>
              <w:jc w:val="center"/>
            </w:pPr>
            <w:r/>
            <w:r>
              <w:rPr>
                <w:rFonts w:ascii="微软雅黑" w:hAnsi="微软雅黑" w:eastAsia="微软雅黑"/>
                <w:b/>
                <w:color w:val="FFFFFF"/>
                <w:sz w:val="20"/>
              </w:rPr>
              <w:t>子组件</w:t>
            </w:r>
          </w:p>
        </w:tc>
        <w:tc>
          <w:tcPr>
            <w:tcW w:type="dxa" w:w="1701"/>
            <w:shd w:fill="2563EB"/>
          </w:tcPr>
          <w:p>
            <w:pPr>
              <w:jc w:val="center"/>
            </w:pPr>
            <w:r/>
            <w:r>
              <w:rPr>
                <w:rFonts w:ascii="微软雅黑" w:hAnsi="微软雅黑" w:eastAsia="微软雅黑"/>
                <w:b/>
                <w:color w:val="FFFFFF"/>
                <w:sz w:val="20"/>
              </w:rPr>
              <w:t>类名</w:t>
            </w:r>
          </w:p>
        </w:tc>
        <w:tc>
          <w:tcPr>
            <w:tcW w:type="dxa" w:w="2835"/>
            <w:shd w:fill="2563EB"/>
          </w:tcPr>
          <w:p>
            <w:pPr>
              <w:jc w:val="center"/>
            </w:pPr>
            <w:r/>
            <w:r>
              <w:rPr>
                <w:rFonts w:ascii="微软雅黑" w:hAnsi="微软雅黑" w:eastAsia="微软雅黑"/>
                <w:b/>
                <w:color w:val="FFFFFF"/>
                <w:sz w:val="20"/>
              </w:rPr>
              <w:t>职责</w:t>
            </w:r>
          </w:p>
        </w:tc>
        <w:tc>
          <w:tcPr>
            <w:tcW w:type="dxa" w:w="1701"/>
            <w:shd w:fill="2563EB"/>
          </w:tcPr>
          <w:p>
            <w:pPr>
              <w:jc w:val="center"/>
            </w:pPr>
            <w:r/>
            <w:r>
              <w:rPr>
                <w:rFonts w:ascii="微软雅黑" w:hAnsi="微软雅黑" w:eastAsia="微软雅黑"/>
                <w:b/>
                <w:color w:val="FFFFFF"/>
                <w:sz w:val="20"/>
              </w:rPr>
              <w:t>对应论文章节</w:t>
            </w:r>
          </w:p>
        </w:tc>
      </w:tr>
      <w:tr>
        <w:tc>
          <w:tcPr>
            <w:tcW w:type="dxa" w:w="1417"/>
          </w:tcPr>
          <w:p>
            <w:r/>
            <w:r>
              <w:rPr>
                <w:rFonts w:ascii="宋体" w:hAnsi="宋体" w:eastAsia="宋体"/>
                <w:sz w:val="18"/>
              </w:rPr>
              <w:t>状态编码器</w:t>
            </w:r>
          </w:p>
        </w:tc>
        <w:tc>
          <w:tcPr>
            <w:tcW w:type="dxa" w:w="1701"/>
          </w:tcPr>
          <w:p>
            <w:r/>
            <w:r>
              <w:rPr>
                <w:rFonts w:ascii="宋体" w:hAnsi="宋体" w:eastAsia="宋体"/>
                <w:sz w:val="18"/>
              </w:rPr>
              <w:t>StateEncoder</w:t>
            </w:r>
          </w:p>
        </w:tc>
        <w:tc>
          <w:tcPr>
            <w:tcW w:type="dxa" w:w="2835"/>
          </w:tcPr>
          <w:p>
            <w:r/>
            <w:r>
              <w:rPr>
                <w:rFonts w:ascii="宋体" w:hAnsi="宋体" w:eastAsia="宋体"/>
                <w:sz w:val="18"/>
              </w:rPr>
              <w:t>将原始输入压缩为结构化状态</w:t>
            </w:r>
          </w:p>
        </w:tc>
        <w:tc>
          <w:tcPr>
            <w:tcW w:type="dxa" w:w="1701"/>
          </w:tcPr>
          <w:p>
            <w:r/>
            <w:r>
              <w:rPr>
                <w:rFonts w:ascii="宋体" w:hAnsi="宋体" w:eastAsia="宋体"/>
                <w:sz w:val="18"/>
              </w:rPr>
              <w:t>Section 4.1</w:t>
            </w:r>
          </w:p>
        </w:tc>
      </w:tr>
      <w:tr>
        <w:tc>
          <w:tcPr>
            <w:tcW w:type="dxa" w:w="1417"/>
          </w:tcPr>
          <w:p>
            <w:r/>
            <w:r>
              <w:rPr>
                <w:rFonts w:ascii="宋体" w:hAnsi="宋体" w:eastAsia="宋体"/>
                <w:sz w:val="18"/>
              </w:rPr>
              <w:t>记忆库</w:t>
            </w:r>
          </w:p>
        </w:tc>
        <w:tc>
          <w:tcPr>
            <w:tcW w:type="dxa" w:w="1701"/>
          </w:tcPr>
          <w:p>
            <w:r/>
            <w:r>
              <w:rPr>
                <w:rFonts w:ascii="宋体" w:hAnsi="宋体" w:eastAsia="宋体"/>
                <w:sz w:val="18"/>
              </w:rPr>
              <w:t>MemoryBank</w:t>
            </w:r>
          </w:p>
        </w:tc>
        <w:tc>
          <w:tcPr>
            <w:tcW w:type="dxa" w:w="2835"/>
          </w:tcPr>
          <w:p>
            <w:r/>
            <w:r>
              <w:rPr>
                <w:rFonts w:ascii="宋体" w:hAnsi="宋体" w:eastAsia="宋体"/>
                <w:sz w:val="18"/>
              </w:rPr>
              <w:t>存储(s,a,G)三元组，支持持久化</w:t>
            </w:r>
          </w:p>
        </w:tc>
        <w:tc>
          <w:tcPr>
            <w:tcW w:type="dxa" w:w="1701"/>
          </w:tcPr>
          <w:p>
            <w:r/>
            <w:r>
              <w:rPr>
                <w:rFonts w:ascii="宋体" w:hAnsi="宋体" w:eastAsia="宋体"/>
                <w:sz w:val="18"/>
              </w:rPr>
              <w:t>Section 4.1</w:t>
            </w:r>
          </w:p>
        </w:tc>
      </w:tr>
      <w:tr>
        <w:tc>
          <w:tcPr>
            <w:tcW w:type="dxa" w:w="1417"/>
          </w:tcPr>
          <w:p>
            <w:r/>
            <w:r>
              <w:rPr>
                <w:rFonts w:ascii="宋体" w:hAnsi="宋体" w:eastAsia="宋体"/>
                <w:sz w:val="18"/>
              </w:rPr>
              <w:t>检索器</w:t>
            </w:r>
          </w:p>
        </w:tc>
        <w:tc>
          <w:tcPr>
            <w:tcW w:type="dxa" w:w="1701"/>
          </w:tcPr>
          <w:p>
            <w:r/>
            <w:r>
              <w:rPr>
                <w:rFonts w:ascii="宋体" w:hAnsi="宋体" w:eastAsia="宋体"/>
                <w:sz w:val="18"/>
              </w:rPr>
              <w:t>Retriever</w:t>
            </w:r>
          </w:p>
        </w:tc>
        <w:tc>
          <w:tcPr>
            <w:tcW w:type="dxa" w:w="2835"/>
          </w:tcPr>
          <w:p>
            <w:r/>
            <w:r>
              <w:rPr>
                <w:rFonts w:ascii="宋体" w:hAnsi="宋体" w:eastAsia="宋体"/>
                <w:sz w:val="18"/>
              </w:rPr>
              <w:t>Jaccard相似度检索top-k邻居</w:t>
            </w:r>
          </w:p>
        </w:tc>
        <w:tc>
          <w:tcPr>
            <w:tcW w:type="dxa" w:w="1701"/>
          </w:tcPr>
          <w:p>
            <w:r/>
            <w:r>
              <w:rPr>
                <w:rFonts w:ascii="宋体" w:hAnsi="宋体" w:eastAsia="宋体"/>
                <w:sz w:val="18"/>
              </w:rPr>
              <w:t>Section 4.2</w:t>
            </w:r>
          </w:p>
        </w:tc>
      </w:tr>
      <w:tr>
        <w:tc>
          <w:tcPr>
            <w:tcW w:type="dxa" w:w="1417"/>
          </w:tcPr>
          <w:p>
            <w:r/>
            <w:r>
              <w:rPr>
                <w:rFonts w:ascii="宋体" w:hAnsi="宋体" w:eastAsia="宋体"/>
                <w:sz w:val="18"/>
              </w:rPr>
              <w:t>价值估计器</w:t>
            </w:r>
          </w:p>
        </w:tc>
        <w:tc>
          <w:tcPr>
            <w:tcW w:type="dxa" w:w="1701"/>
          </w:tcPr>
          <w:p>
            <w:r/>
            <w:r>
              <w:rPr>
                <w:rFonts w:ascii="宋体" w:hAnsi="宋体" w:eastAsia="宋体"/>
                <w:sz w:val="18"/>
              </w:rPr>
              <w:t>ValueEstimator</w:t>
            </w:r>
          </w:p>
        </w:tc>
        <w:tc>
          <w:tcPr>
            <w:tcW w:type="dxa" w:w="2835"/>
          </w:tcPr>
          <w:p>
            <w:r/>
            <w:r>
              <w:rPr>
                <w:rFonts w:ascii="宋体" w:hAnsi="宋体" w:eastAsia="宋体"/>
                <w:sz w:val="18"/>
              </w:rPr>
              <w:t>估计V(s)、Q(s,a)、A(s,a)</w:t>
            </w:r>
          </w:p>
        </w:tc>
        <w:tc>
          <w:tcPr>
            <w:tcW w:type="dxa" w:w="1701"/>
          </w:tcPr>
          <w:p>
            <w:r/>
            <w:r>
              <w:rPr>
                <w:rFonts w:ascii="宋体" w:hAnsi="宋体" w:eastAsia="宋体"/>
                <w:sz w:val="18"/>
              </w:rPr>
              <w:t>Section 4.2</w:t>
            </w:r>
          </w:p>
        </w:tc>
      </w:tr>
      <w:tr>
        <w:tc>
          <w:tcPr>
            <w:tcW w:type="dxa" w:w="1417"/>
          </w:tcPr>
          <w:p>
            <w:r/>
            <w:r>
              <w:rPr>
                <w:rFonts w:ascii="宋体" w:hAnsi="宋体" w:eastAsia="宋体"/>
                <w:sz w:val="18"/>
              </w:rPr>
              <w:t>策略更新器</w:t>
            </w:r>
          </w:p>
        </w:tc>
        <w:tc>
          <w:tcPr>
            <w:tcW w:type="dxa" w:w="1701"/>
          </w:tcPr>
          <w:p>
            <w:r/>
            <w:r>
              <w:rPr>
                <w:rFonts w:ascii="宋体" w:hAnsi="宋体" w:eastAsia="宋体"/>
                <w:sz w:val="18"/>
              </w:rPr>
              <w:t>PolicyUpdater</w:t>
            </w:r>
          </w:p>
        </w:tc>
        <w:tc>
          <w:tcPr>
            <w:tcW w:type="dxa" w:w="2835"/>
          </w:tcPr>
          <w:p>
            <w:r/>
            <w:r>
              <w:rPr>
                <w:rFonts w:ascii="宋体" w:hAnsi="宋体" w:eastAsia="宋体"/>
                <w:sz w:val="18"/>
              </w:rPr>
              <w:t>闭式更新logits并采样动作</w:t>
            </w:r>
          </w:p>
        </w:tc>
        <w:tc>
          <w:tcPr>
            <w:tcW w:type="dxa" w:w="1701"/>
          </w:tcPr>
          <w:p>
            <w:r/>
            <w:r>
              <w:rPr>
                <w:rFonts w:ascii="宋体" w:hAnsi="宋体" w:eastAsia="宋体"/>
                <w:sz w:val="18"/>
              </w:rPr>
              <w:t>Section 4.3</w:t>
            </w:r>
          </w:p>
        </w:tc>
      </w:tr>
      <w:tr>
        <w:tc>
          <w:tcPr>
            <w:tcW w:type="dxa" w:w="1417"/>
          </w:tcPr>
          <w:p>
            <w:r/>
            <w:r>
              <w:rPr>
                <w:rFonts w:ascii="宋体" w:hAnsi="宋体" w:eastAsia="宋体"/>
                <w:sz w:val="18"/>
              </w:rPr>
              <w:t>评估器</w:t>
            </w:r>
          </w:p>
        </w:tc>
        <w:tc>
          <w:tcPr>
            <w:tcW w:type="dxa" w:w="1701"/>
          </w:tcPr>
          <w:p>
            <w:r/>
            <w:r>
              <w:rPr>
                <w:rFonts w:ascii="宋体" w:hAnsi="宋体" w:eastAsia="宋体"/>
                <w:sz w:val="18"/>
              </w:rPr>
              <w:t>Evaluator</w:t>
            </w:r>
          </w:p>
        </w:tc>
        <w:tc>
          <w:tcPr>
            <w:tcW w:type="dxa" w:w="2835"/>
          </w:tcPr>
          <w:p>
            <w:r/>
            <w:r>
              <w:rPr>
                <w:rFonts w:ascii="宋体" w:hAnsi="宋体" w:eastAsia="宋体"/>
                <w:sz w:val="18"/>
              </w:rPr>
              <w:t>多维度评估处方质量生成rewards</w:t>
            </w:r>
          </w:p>
        </w:tc>
        <w:tc>
          <w:tcPr>
            <w:tcW w:type="dxa" w:w="1701"/>
          </w:tcPr>
          <w:p>
            <w:r/>
            <w:r>
              <w:rPr>
                <w:rFonts w:ascii="宋体" w:hAnsi="宋体" w:eastAsia="宋体"/>
                <w:sz w:val="18"/>
              </w:rPr>
              <w:t>Section 4.1</w:t>
            </w:r>
          </w:p>
        </w:tc>
      </w:tr>
    </w:tbl>
    <w:p>
      <w:pPr>
        <w:pStyle w:val="Heading2"/>
      </w:pPr>
      <w:r>
        <w:rPr>
          <w:rFonts w:ascii="微软雅黑" w:hAnsi="微软雅黑" w:eastAsia="微软雅黑"/>
          <w:color w:val="374151"/>
          <w:sz w:val="32"/>
        </w:rPr>
        <w:t>5.2 LLM 后端适配层</w:t>
      </w:r>
    </w:p>
    <w:p>
      <w:pPr>
        <w:spacing w:line="360" w:lineRule="auto" w:after="120"/>
        <w:ind w:firstLine="420"/>
      </w:pPr>
      <w:r>
        <w:rPr>
          <w:rFonts w:ascii="宋体" w:hAnsi="宋体" w:eastAsia="宋体"/>
          <w:b w:val="0"/>
          <w:sz w:val="22"/>
        </w:rPr>
        <w:t>LLM 后端适配层提供统一的接口，支持三种后端实现：</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134"/>
            <w:shd w:fill="2563EB"/>
          </w:tcPr>
          <w:p>
            <w:pPr>
              <w:jc w:val="center"/>
            </w:pPr>
            <w:r/>
            <w:r>
              <w:rPr>
                <w:rFonts w:ascii="微软雅黑" w:hAnsi="微软雅黑" w:eastAsia="微软雅黑"/>
                <w:b/>
                <w:color w:val="FFFFFF"/>
                <w:sz w:val="20"/>
              </w:rPr>
              <w:t>后端</w:t>
            </w:r>
          </w:p>
        </w:tc>
        <w:tc>
          <w:tcPr>
            <w:tcW w:type="dxa" w:w="1701"/>
            <w:shd w:fill="2563EB"/>
          </w:tcPr>
          <w:p>
            <w:pPr>
              <w:jc w:val="center"/>
            </w:pPr>
            <w:r/>
            <w:r>
              <w:rPr>
                <w:rFonts w:ascii="微软雅黑" w:hAnsi="微软雅黑" w:eastAsia="微软雅黑"/>
                <w:b/>
                <w:color w:val="FFFFFF"/>
                <w:sz w:val="20"/>
              </w:rPr>
              <w:t>类名</w:t>
            </w:r>
          </w:p>
        </w:tc>
        <w:tc>
          <w:tcPr>
            <w:tcW w:type="dxa" w:w="2268"/>
            <w:shd w:fill="2563EB"/>
          </w:tcPr>
          <w:p>
            <w:pPr>
              <w:jc w:val="center"/>
            </w:pPr>
            <w:r/>
            <w:r>
              <w:rPr>
                <w:rFonts w:ascii="微软雅黑" w:hAnsi="微软雅黑" w:eastAsia="微软雅黑"/>
                <w:b/>
                <w:color w:val="FFFFFF"/>
                <w:sz w:val="20"/>
              </w:rPr>
              <w:t>适用场景</w:t>
            </w:r>
          </w:p>
        </w:tc>
        <w:tc>
          <w:tcPr>
            <w:tcW w:type="dxa" w:w="2835"/>
            <w:shd w:fill="2563EB"/>
          </w:tcPr>
          <w:p>
            <w:pPr>
              <w:jc w:val="center"/>
            </w:pPr>
            <w:r/>
            <w:r>
              <w:rPr>
                <w:rFonts w:ascii="微软雅黑" w:hAnsi="微软雅黑" w:eastAsia="微软雅黑"/>
                <w:b/>
                <w:color w:val="FFFFFF"/>
                <w:sz w:val="20"/>
              </w:rPr>
              <w:t>特点</w:t>
            </w:r>
          </w:p>
        </w:tc>
      </w:tr>
      <w:tr>
        <w:tc>
          <w:tcPr>
            <w:tcW w:type="dxa" w:w="1134"/>
          </w:tcPr>
          <w:p>
            <w:r/>
            <w:r>
              <w:rPr>
                <w:rFonts w:ascii="宋体" w:hAnsi="宋体" w:eastAsia="宋体"/>
                <w:sz w:val="18"/>
              </w:rPr>
              <w:t>Ollama</w:t>
            </w:r>
          </w:p>
        </w:tc>
        <w:tc>
          <w:tcPr>
            <w:tcW w:type="dxa" w:w="1701"/>
          </w:tcPr>
          <w:p>
            <w:r/>
            <w:r>
              <w:rPr>
                <w:rFonts w:ascii="宋体" w:hAnsi="宋体" w:eastAsia="宋体"/>
                <w:sz w:val="18"/>
              </w:rPr>
              <w:t>OllamaBackend</w:t>
            </w:r>
          </w:p>
        </w:tc>
        <w:tc>
          <w:tcPr>
            <w:tcW w:type="dxa" w:w="2268"/>
          </w:tcPr>
          <w:p>
            <w:r/>
            <w:r>
              <w:rPr>
                <w:rFonts w:ascii="宋体" w:hAnsi="宋体" w:eastAsia="宋体"/>
                <w:sz w:val="18"/>
              </w:rPr>
              <w:t>本地开发、单机部署</w:t>
            </w:r>
          </w:p>
        </w:tc>
        <w:tc>
          <w:tcPr>
            <w:tcW w:type="dxa" w:w="2835"/>
          </w:tcPr>
          <w:p>
            <w:r/>
            <w:r>
              <w:rPr>
                <w:rFonts w:ascii="宋体" w:hAnsi="宋体" w:eastAsia="宋体"/>
                <w:sz w:val="18"/>
              </w:rPr>
              <w:t>支持token-level logit，部署简单</w:t>
            </w:r>
          </w:p>
        </w:tc>
      </w:tr>
      <w:tr>
        <w:tc>
          <w:tcPr>
            <w:tcW w:type="dxa" w:w="1134"/>
          </w:tcPr>
          <w:p>
            <w:r/>
            <w:r>
              <w:rPr>
                <w:rFonts w:ascii="宋体" w:hAnsi="宋体" w:eastAsia="宋体"/>
                <w:sz w:val="18"/>
              </w:rPr>
              <w:t>vLLM</w:t>
            </w:r>
          </w:p>
        </w:tc>
        <w:tc>
          <w:tcPr>
            <w:tcW w:type="dxa" w:w="1701"/>
          </w:tcPr>
          <w:p>
            <w:r/>
            <w:r>
              <w:rPr>
                <w:rFonts w:ascii="宋体" w:hAnsi="宋体" w:eastAsia="宋体"/>
                <w:sz w:val="18"/>
              </w:rPr>
              <w:t>VLLMBackend</w:t>
            </w:r>
          </w:p>
        </w:tc>
        <w:tc>
          <w:tcPr>
            <w:tcW w:type="dxa" w:w="2268"/>
          </w:tcPr>
          <w:p>
            <w:r/>
            <w:r>
              <w:rPr>
                <w:rFonts w:ascii="宋体" w:hAnsi="宋体" w:eastAsia="宋体"/>
                <w:sz w:val="18"/>
              </w:rPr>
              <w:t>生产环境、高并发</w:t>
            </w:r>
          </w:p>
        </w:tc>
        <w:tc>
          <w:tcPr>
            <w:tcW w:type="dxa" w:w="2835"/>
          </w:tcPr>
          <w:p>
            <w:r/>
            <w:r>
              <w:rPr>
                <w:rFonts w:ascii="宋体" w:hAnsi="宋体" w:eastAsia="宋体"/>
                <w:sz w:val="18"/>
              </w:rPr>
              <w:t>OpenAI兼容API，支持logprobs</w:t>
            </w:r>
          </w:p>
        </w:tc>
      </w:tr>
      <w:tr>
        <w:tc>
          <w:tcPr>
            <w:tcW w:type="dxa" w:w="1134"/>
          </w:tcPr>
          <w:p>
            <w:r/>
            <w:r>
              <w:rPr>
                <w:rFonts w:ascii="宋体" w:hAnsi="宋体" w:eastAsia="宋体"/>
                <w:sz w:val="18"/>
              </w:rPr>
              <w:t>Mock</w:t>
            </w:r>
          </w:p>
        </w:tc>
        <w:tc>
          <w:tcPr>
            <w:tcW w:type="dxa" w:w="1701"/>
          </w:tcPr>
          <w:p>
            <w:r/>
            <w:r>
              <w:rPr>
                <w:rFonts w:ascii="宋体" w:hAnsi="宋体" w:eastAsia="宋体"/>
                <w:sz w:val="18"/>
              </w:rPr>
              <w:t>MockBackend</w:t>
            </w:r>
          </w:p>
        </w:tc>
        <w:tc>
          <w:tcPr>
            <w:tcW w:type="dxa" w:w="2268"/>
          </w:tcPr>
          <w:p>
            <w:r/>
            <w:r>
              <w:rPr>
                <w:rFonts w:ascii="宋体" w:hAnsi="宋体" w:eastAsia="宋体"/>
                <w:sz w:val="18"/>
              </w:rPr>
              <w:t>无LLM环境、单元测试</w:t>
            </w:r>
          </w:p>
        </w:tc>
        <w:tc>
          <w:tcPr>
            <w:tcW w:type="dxa" w:w="2835"/>
          </w:tcPr>
          <w:p>
            <w:r/>
            <w:r>
              <w:rPr>
                <w:rFonts w:ascii="宋体" w:hAnsi="宋体" w:eastAsia="宋体"/>
                <w:sz w:val="18"/>
              </w:rPr>
              <w:t>基于规则生成候选，确保可用性</w:t>
            </w:r>
          </w:p>
        </w:tc>
      </w:tr>
    </w:tbl>
    <w:p>
      <w:pPr>
        <w:spacing w:line="360" w:lineRule="auto" w:after="120"/>
        <w:ind w:firstLine="420"/>
      </w:pPr>
      <w:r>
        <w:rPr>
          <w:rFonts w:ascii="宋体" w:hAnsi="宋体" w:eastAsia="宋体"/>
          <w:b w:val="0"/>
          <w:sz w:val="22"/>
        </w:rPr>
        <w:t>三种后端通过 LLMFactory 工厂模式统一创建，配置文件中切换 backend 字段即可切换。所有后端都实现 generate_candidates 方法，返回候选动作列表和对应的 logits。</w:t>
      </w:r>
    </w:p>
    <w:p>
      <w:pPr>
        <w:pStyle w:val="Heading2"/>
      </w:pPr>
      <w:r>
        <w:rPr>
          <w:rFonts w:ascii="微软雅黑" w:hAnsi="微软雅黑" w:eastAsia="微软雅黑"/>
          <w:color w:val="374151"/>
          <w:sz w:val="32"/>
        </w:rPr>
        <w:t>5.3 处方生成器</w:t>
      </w:r>
    </w:p>
    <w:p>
      <w:pPr>
        <w:spacing w:line="360" w:lineRule="auto" w:after="120"/>
        <w:ind w:firstLine="420"/>
      </w:pPr>
      <w:r>
        <w:rPr>
          <w:rFonts w:ascii="宋体" w:hAnsi="宋体" w:eastAsia="宋体"/>
          <w:b w:val="0"/>
          <w:sz w:val="22"/>
        </w:rPr>
        <w:t>PrescriptionGenerator 是应用层的核心编排器，负责将 JitRL Agent 的决策结果转化为结构化处方。其工作流程为：调用 JitRL Agent 生成候选方案并选出最优 → 将最优方案转化为周计划 → 调用约束流水线校验 → 输出最终处方。</w:t>
      </w:r>
    </w:p>
    <w:p>
      <w:pPr>
        <w:pStyle w:val="Heading2"/>
      </w:pPr>
      <w:r>
        <w:rPr>
          <w:rFonts w:ascii="微软雅黑" w:hAnsi="微软雅黑" w:eastAsia="微软雅黑"/>
          <w:color w:val="374151"/>
          <w:sz w:val="32"/>
        </w:rPr>
        <w:t>5.4 知识图谱模块</w:t>
      </w:r>
    </w:p>
    <w:p>
      <w:pPr>
        <w:spacing w:line="360" w:lineRule="auto" w:after="120"/>
        <w:ind w:firstLine="420"/>
      </w:pPr>
      <w:r>
        <w:rPr>
          <w:rFonts w:ascii="宋体" w:hAnsi="宋体" w:eastAsia="宋体"/>
          <w:b w:val="0"/>
          <w:sz w:val="22"/>
        </w:rPr>
        <w:t>知识图谱模块管理伤病-动作-体能素质的关系网络，支持 Neo4j 图数据库和内置 JSON 知识库两种存储方式。Neo4j 模式提供完整的 Cypher 查询能力，适合大规模知识管理；JSON 模式作为降级方案，无需额外依赖，适合快速部署。</w:t>
      </w:r>
    </w:p>
    <w:p>
      <w:pPr>
        <w:spacing w:line="360" w:lineRule="auto" w:after="120"/>
        <w:ind w:firstLine="420"/>
      </w:pPr>
      <w:r>
        <w:rPr>
          <w:rFonts w:ascii="宋体" w:hAnsi="宋体" w:eastAsia="宋体"/>
          <w:b w:val="0"/>
          <w:sz w:val="22"/>
        </w:rPr>
        <w:t>知识图谱包含以下节点和关系类型：</w:t>
      </w:r>
    </w:p>
    <w:p>
      <w:pPr>
        <w:pStyle w:val="ListBullet"/>
        <w:spacing w:line="360" w:lineRule="auto"/>
      </w:pPr>
      <w:r>
        <w:rPr>
          <w:rFonts w:ascii="宋体" w:hAnsi="宋体" w:eastAsia="宋体"/>
          <w:sz w:val="22"/>
        </w:rPr>
        <w:t>节点：Injury（伤病）、Action（动作）、Quality（体能素质）、Muscle（肌群）、Equipment（器械）</w:t>
      </w:r>
    </w:p>
    <w:p>
      <w:pPr>
        <w:pStyle w:val="ListBullet"/>
        <w:spacing w:line="360" w:lineRule="auto"/>
      </w:pPr>
      <w:r>
        <w:rPr>
          <w:rFonts w:ascii="宋体" w:hAnsi="宋体" w:eastAsia="宋体"/>
          <w:sz w:val="22"/>
        </w:rPr>
        <w:t>关系：FORBIDS（伤病禁忌动作）、TARGETS（动作针对素质）、USES（动作使用器械）、TRAINS（动作训练肌群）</w:t>
      </w:r>
    </w:p>
    <w:p>
      <w:r>
        <w:br w:type="page"/>
      </w:r>
    </w:p>
    <w:p>
      <w:pPr>
        <w:pStyle w:val="Heading1"/>
      </w:pPr>
      <w:r>
        <w:rPr>
          <w:rFonts w:ascii="微软雅黑" w:hAnsi="微软雅黑" w:eastAsia="微软雅黑"/>
          <w:color w:val="2563EB"/>
          <w:sz w:val="40"/>
        </w:rPr>
        <w:t>6. 六级约束优先级体系</w:t>
      </w:r>
    </w:p>
    <w:p>
      <w:pPr>
        <w:spacing w:line="360" w:lineRule="auto" w:after="120"/>
        <w:ind w:firstLine="420"/>
      </w:pPr>
      <w:r>
        <w:rPr>
          <w:rFonts w:ascii="宋体" w:hAnsi="宋体" w:eastAsia="宋体"/>
          <w:b w:val="0"/>
          <w:sz w:val="22"/>
        </w:rPr>
        <w:t>系统严格执行六级约束优先级，数值越小优先级越高。高优先级约束的 error 级违规会阻断后续约束执行，warning 级违规记录但不阻断。</w:t>
      </w:r>
    </w:p>
    <w:p>
      <w:pPr>
        <w:jc w:val="center"/>
      </w:pPr>
      <w:r>
        <w:drawing>
          <wp:inline xmlns:a="http://schemas.openxmlformats.org/drawingml/2006/main" xmlns:pic="http://schemas.openxmlformats.org/drawingml/2006/picture">
            <wp:extent cx="5943600" cy="3698240"/>
            <wp:docPr id="5" name="Picture 5"/>
            <wp:cNvGraphicFramePr>
              <a:graphicFrameLocks noChangeAspect="1"/>
            </wp:cNvGraphicFramePr>
            <a:graphic>
              <a:graphicData uri="http://schemas.openxmlformats.org/drawingml/2006/picture">
                <pic:pic>
                  <pic:nvPicPr>
                    <pic:cNvPr id="0" name="03_constraint_pipeline.png"/>
                    <pic:cNvPicPr/>
                  </pic:nvPicPr>
                  <pic:blipFill>
                    <a:blip r:embed="rId13"/>
                    <a:stretch>
                      <a:fillRect/>
                    </a:stretch>
                  </pic:blipFill>
                  <pic:spPr>
                    <a:xfrm>
                      <a:off x="0" y="0"/>
                      <a:ext cx="5943600" cy="3698240"/>
                    </a:xfrm>
                    <a:prstGeom prst="rect"/>
                  </pic:spPr>
                </pic:pic>
              </a:graphicData>
            </a:graphic>
          </wp:inline>
        </w:drawing>
      </w:r>
    </w:p>
    <w:p>
      <w:pPr>
        <w:jc w:val="center"/>
      </w:pPr>
      <w:r>
        <w:rPr>
          <w:rFonts w:ascii="宋体" w:hAnsi="宋体" w:eastAsia="宋体"/>
          <w:i/>
          <w:color w:val="6B7280"/>
          <w:sz w:val="18"/>
        </w:rPr>
        <w:t>图6-1 六级约束流水线</w:t>
      </w:r>
    </w:p>
    <w:p>
      <w:pPr>
        <w:pStyle w:val="Heading2"/>
      </w:pPr>
      <w:r>
        <w:rPr>
          <w:rFonts w:ascii="微软雅黑" w:hAnsi="微软雅黑" w:eastAsia="微软雅黑"/>
          <w:color w:val="374151"/>
          <w:sz w:val="32"/>
        </w:rPr>
        <w:t>6.1 优先级1：动作风控过滤器</w:t>
      </w:r>
    </w:p>
    <w:p>
      <w:pPr>
        <w:spacing w:line="360" w:lineRule="auto" w:after="120"/>
        <w:ind w:firstLine="420"/>
      </w:pPr>
      <w:r>
        <w:rPr>
          <w:rFonts w:ascii="宋体" w:hAnsi="宋体" w:eastAsia="宋体"/>
          <w:b w:val="0"/>
          <w:sz w:val="22"/>
        </w:rPr>
        <w:t>动作风控过滤器是最高优先级约束，负责伤病强约束。系统维护一个伤病-动作风控知识图谱，记录每种伤病对应的禁忌动作和冲突原因。当输入包含伤病信息时，过滤器会检索对应的禁忌动作列表，从处方中移除所有冲突动作，并记录冲突原因。</w:t>
      </w:r>
    </w:p>
    <w:p>
      <w:pPr>
        <w:spacing w:line="360" w:lineRule="auto" w:after="120"/>
        <w:ind w:firstLine="420"/>
      </w:pPr>
      <w:r>
        <w:rPr>
          <w:rFonts w:ascii="宋体" w:hAnsi="宋体" w:eastAsia="宋体"/>
          <w:b w:val="0"/>
          <w:sz w:val="22"/>
        </w:rPr>
        <w:t>例如，对于"踝关节持续性隐痛"，过滤器会移除跳箱深蹲、波比跳、高抬腿等高冲击动作，原因是"高冲击动作加重踝关节负荷"。这是不可妥协的硬约束——任何违规都可能导致运动员二次损伤。</w:t>
      </w:r>
    </w:p>
    <w:p>
      <w:pPr>
        <w:pStyle w:val="Heading2"/>
      </w:pPr>
      <w:r>
        <w:rPr>
          <w:rFonts w:ascii="微软雅黑" w:hAnsi="微软雅黑" w:eastAsia="微软雅黑"/>
          <w:color w:val="374151"/>
          <w:sz w:val="32"/>
        </w:rPr>
        <w:t>6.2 优先级2：体能素质调度器</w:t>
      </w:r>
    </w:p>
    <w:p>
      <w:pPr>
        <w:spacing w:line="360" w:lineRule="auto" w:after="120"/>
        <w:ind w:firstLine="420"/>
      </w:pPr>
      <w:r>
        <w:rPr>
          <w:rFonts w:ascii="宋体" w:hAnsi="宋体" w:eastAsia="宋体"/>
          <w:b w:val="0"/>
          <w:sz w:val="22"/>
        </w:rPr>
        <w:t>体能素质调度器确保主攻素质（fitnessWeakness字段）的训练频次高于保持素质。系统统计每周各体能素质的训练频次，主攻素质每周至少训练2次，保持素质每周至少1次。若不达标，记录 warning 提醒增加相关训练。</w:t>
      </w:r>
    </w:p>
    <w:p>
      <w:pPr>
        <w:spacing w:line="360" w:lineRule="auto" w:after="120"/>
        <w:ind w:firstLine="420"/>
      </w:pPr>
      <w:r>
        <w:rPr>
          <w:rFonts w:ascii="宋体" w:hAnsi="宋体" w:eastAsia="宋体"/>
          <w:b w:val="0"/>
          <w:sz w:val="22"/>
        </w:rPr>
        <w:t>例如，若运动员的短板是"下肢爆发力"和"核心稳定性"，系统会确保每周至少有2次下肢爆发力训练和2次核心稳定性训练，同时保持其他素质的基本训练量。</w:t>
      </w:r>
    </w:p>
    <w:p>
      <w:pPr>
        <w:pStyle w:val="Heading2"/>
      </w:pPr>
      <w:r>
        <w:rPr>
          <w:rFonts w:ascii="微软雅黑" w:hAnsi="微软雅黑" w:eastAsia="微软雅黑"/>
          <w:color w:val="374151"/>
          <w:sz w:val="32"/>
        </w:rPr>
        <w:t>6.3 优先级3：肌群间隔编排器</w:t>
      </w:r>
    </w:p>
    <w:p>
      <w:pPr>
        <w:spacing w:line="360" w:lineRule="auto" w:after="120"/>
        <w:ind w:firstLine="420"/>
      </w:pPr>
      <w:r>
        <w:rPr>
          <w:rFonts w:ascii="宋体" w:hAnsi="宋体" w:eastAsia="宋体"/>
          <w:b w:val="0"/>
          <w:sz w:val="22"/>
        </w:rPr>
        <w:t>肌群间隔编排器确保同一大肌群的训练间隔不少于48小时。这是基于肌肉恢复生理学的科学约束——大肌群训练后需要48-72小时恢复，连续训练同一肌群会导致过度训练和损伤风险。</w:t>
      </w:r>
    </w:p>
    <w:p>
      <w:pPr>
        <w:spacing w:line="360" w:lineRule="auto" w:after="120"/>
        <w:ind w:firstLine="420"/>
      </w:pPr>
      <w:r>
        <w:rPr>
          <w:rFonts w:ascii="宋体" w:hAnsi="宋体" w:eastAsia="宋体"/>
          <w:b w:val="0"/>
          <w:sz w:val="22"/>
        </w:rPr>
        <w:t>编排器遍历每日训练动作的目标肌群，检测相邻训练日是否有同一大肌群被连续训练。若间隔不足48小时，记录 warning 提醒调整编排。</w:t>
      </w:r>
    </w:p>
    <w:p>
      <w:pPr>
        <w:pStyle w:val="Heading2"/>
      </w:pPr>
      <w:r>
        <w:rPr>
          <w:rFonts w:ascii="微软雅黑" w:hAnsi="微软雅黑" w:eastAsia="微软雅黑"/>
          <w:color w:val="374151"/>
          <w:sz w:val="32"/>
        </w:rPr>
        <w:t>6.4 优先级4：1RM负重换算引擎</w:t>
      </w:r>
    </w:p>
    <w:p>
      <w:pPr>
        <w:spacing w:line="360" w:lineRule="auto" w:after="120"/>
        <w:ind w:firstLine="420"/>
      </w:pPr>
      <w:r>
        <w:rPr>
          <w:rFonts w:ascii="宋体" w:hAnsi="宋体" w:eastAsia="宋体"/>
          <w:b w:val="0"/>
          <w:sz w:val="22"/>
        </w:rPr>
        <w:t>1RM（One Repetition Maximum）是力量训练的核心概念，表示单次能举起的最大重量。系统使用 Epley 公式估算1RM：1RM = w × (1 + reps/30)，然后根据训练强度百分比计算实际训练重量：训练重量 = 1RM × intensity_pct。</w:t>
      </w:r>
    </w:p>
    <w:p>
      <w:pPr>
        <w:spacing w:line="360" w:lineRule="auto" w:after="120"/>
        <w:ind w:firstLine="420"/>
      </w:pPr>
      <w:r>
        <w:rPr>
          <w:rFonts w:ascii="宋体" w:hAnsi="宋体" w:eastAsia="宋体"/>
          <w:b w:val="0"/>
          <w:sz w:val="22"/>
        </w:rPr>
        <w:t>强度百分比根据周期阶段动态调整：适应期70%、提高期75-80%、稳定期70%。系统从体测成绩或历史训练记录中估算1RM，确保训练重量既具有挑战性又安全可控。</w:t>
      </w:r>
    </w:p>
    <w:p>
      <w:pPr>
        <w:pStyle w:val="Heading2"/>
      </w:pPr>
      <w:r>
        <w:rPr>
          <w:rFonts w:ascii="微软雅黑" w:hAnsi="微软雅黑" w:eastAsia="微软雅黑"/>
          <w:color w:val="374151"/>
          <w:sz w:val="32"/>
        </w:rPr>
        <w:t>6.5 优先级5：四周周期渐进控制器</w:t>
      </w:r>
    </w:p>
    <w:p>
      <w:pPr>
        <w:spacing w:line="360" w:lineRule="auto" w:after="120"/>
        <w:ind w:firstLine="420"/>
      </w:pPr>
      <w:r>
        <w:rPr>
          <w:rFonts w:ascii="宋体" w:hAnsi="宋体" w:eastAsia="宋体"/>
          <w:b w:val="0"/>
          <w:sz w:val="22"/>
        </w:rPr>
        <w:t>周期渐进控制器根据训练总周期自动分配三个阶段：第1周为适应期（负荷系数0.70，降量）、第2至N-1周为提高期（负荷系数1.05，超负荷进阶）、最后一周为稳定期（负荷系数1.00，维持负荷）。</w:t>
      </w:r>
    </w:p>
    <w:p>
      <w:pPr>
        <w:spacing w:line="360" w:lineRule="auto" w:after="120"/>
        <w:ind w:firstLine="420"/>
      </w:pPr>
      <w:r>
        <w:rPr>
          <w:rFonts w:ascii="宋体" w:hAnsi="宋体" w:eastAsia="宋体"/>
          <w:b w:val="0"/>
          <w:sz w:val="22"/>
        </w:rPr>
        <w:t>控制器会根据阶段系数调整每个动作的组数、次数和重量。例如，适应期的深蹲可能从4组×12次降为3组×8次，提高期则增加到5组×10次并增加重量。这种渐进式负荷是科学训练的核心原则。</w:t>
      </w:r>
    </w:p>
    <w:p>
      <w:pPr>
        <w:pStyle w:val="Heading2"/>
      </w:pPr>
      <w:r>
        <w:rPr>
          <w:rFonts w:ascii="微软雅黑" w:hAnsi="微软雅黑" w:eastAsia="微软雅黑"/>
          <w:color w:val="374151"/>
          <w:sz w:val="32"/>
        </w:rPr>
        <w:t>6.6 优先级6：时长增幅控制器</w:t>
      </w:r>
    </w:p>
    <w:p>
      <w:pPr>
        <w:spacing w:line="360" w:lineRule="auto" w:after="120"/>
        <w:ind w:firstLine="420"/>
      </w:pPr>
      <w:r>
        <w:rPr>
          <w:rFonts w:ascii="宋体" w:hAnsi="宋体" w:eastAsia="宋体"/>
          <w:b w:val="0"/>
          <w:sz w:val="22"/>
        </w:rPr>
        <w:t>时长增幅控制器执行两个子约束：单日训练总时长不超过90分钟（可配置），相邻周负荷增幅不超过10%。前者防止单次训练过度疲劳，后者防止负荷激增导致过度训练综合征。</w:t>
      </w:r>
    </w:p>
    <w:p>
      <w:pPr>
        <w:spacing w:line="360" w:lineRule="auto" w:after="120"/>
        <w:ind w:firstLine="420"/>
      </w:pPr>
      <w:r>
        <w:rPr>
          <w:rFonts w:ascii="宋体" w:hAnsi="宋体" w:eastAsia="宋体"/>
          <w:b w:val="0"/>
          <w:sz w:val="22"/>
        </w:rPr>
        <w:t>当单日时长超限时，控制器会从动作列表末尾裁剪辅助动作；当周负荷增幅超限时，记录 warning 提醒调整。这两个约束共同确保训练负荷的科学性和可持续性。</w:t>
      </w:r>
    </w:p>
    <w:p>
      <w:r>
        <w:br w:type="page"/>
      </w:r>
    </w:p>
    <w:p>
      <w:pPr>
        <w:pStyle w:val="Heading1"/>
      </w:pPr>
      <w:r>
        <w:rPr>
          <w:rFonts w:ascii="微软雅黑" w:hAnsi="微软雅黑" w:eastAsia="微软雅黑"/>
          <w:color w:val="2563EB"/>
          <w:sz w:val="40"/>
        </w:rPr>
        <w:t>7. 技术选型与架构决策</w:t>
      </w:r>
    </w:p>
    <w:p>
      <w:pPr>
        <w:pStyle w:val="Heading2"/>
      </w:pPr>
      <w:r>
        <w:rPr>
          <w:rFonts w:ascii="微软雅黑" w:hAnsi="微软雅黑" w:eastAsia="微软雅黑"/>
          <w:color w:val="374151"/>
          <w:sz w:val="32"/>
        </w:rPr>
        <w:t>7.1 核心技术选型</w:t>
      </w:r>
    </w:p>
    <w:tbl>
      <w:tblPr>
        <w:tblStyle w:val="LightGrid-Accent1"/>
        <w:tblW w:type="auto" w:w="0"/>
        <w:jc w:val="center"/>
        <w:tblLook w:firstColumn="1" w:firstRow="1" w:lastColumn="0" w:lastRow="0" w:noHBand="0" w:noVBand="1" w:val="04A0"/>
      </w:tblPr>
      <w:tblGrid>
        <w:gridCol w:w="2880"/>
        <w:gridCol w:w="2880"/>
        <w:gridCol w:w="2880"/>
      </w:tblGrid>
      <w:tr>
        <w:tc>
          <w:tcPr>
            <w:tcW w:type="dxa" w:w="1417"/>
            <w:shd w:fill="2563EB"/>
          </w:tcPr>
          <w:p>
            <w:pPr>
              <w:jc w:val="center"/>
            </w:pPr>
            <w:r/>
            <w:r>
              <w:rPr>
                <w:rFonts w:ascii="微软雅黑" w:hAnsi="微软雅黑" w:eastAsia="微软雅黑"/>
                <w:b/>
                <w:color w:val="FFFFFF"/>
                <w:sz w:val="20"/>
              </w:rPr>
              <w:t>技术领域</w:t>
            </w:r>
          </w:p>
        </w:tc>
        <w:tc>
          <w:tcPr>
            <w:tcW w:type="dxa" w:w="1701"/>
            <w:shd w:fill="2563EB"/>
          </w:tcPr>
          <w:p>
            <w:pPr>
              <w:jc w:val="center"/>
            </w:pPr>
            <w:r/>
            <w:r>
              <w:rPr>
                <w:rFonts w:ascii="微软雅黑" w:hAnsi="微软雅黑" w:eastAsia="微软雅黑"/>
                <w:b/>
                <w:color w:val="FFFFFF"/>
                <w:sz w:val="20"/>
              </w:rPr>
              <w:t>选型</w:t>
            </w:r>
          </w:p>
        </w:tc>
        <w:tc>
          <w:tcPr>
            <w:tcW w:type="dxa" w:w="4535"/>
            <w:shd w:fill="2563EB"/>
          </w:tcPr>
          <w:p>
            <w:pPr>
              <w:jc w:val="center"/>
            </w:pPr>
            <w:r/>
            <w:r>
              <w:rPr>
                <w:rFonts w:ascii="微软雅黑" w:hAnsi="微软雅黑" w:eastAsia="微软雅黑"/>
                <w:b/>
                <w:color w:val="FFFFFF"/>
                <w:sz w:val="20"/>
              </w:rPr>
              <w:t>选择理由</w:t>
            </w:r>
          </w:p>
        </w:tc>
      </w:tr>
      <w:tr>
        <w:tc>
          <w:tcPr>
            <w:tcW w:type="dxa" w:w="1417"/>
          </w:tcPr>
          <w:p>
            <w:r/>
            <w:r>
              <w:rPr>
                <w:rFonts w:ascii="宋体" w:hAnsi="宋体" w:eastAsia="宋体"/>
                <w:sz w:val="18"/>
              </w:rPr>
              <w:t>编程语言</w:t>
            </w:r>
          </w:p>
        </w:tc>
        <w:tc>
          <w:tcPr>
            <w:tcW w:type="dxa" w:w="1701"/>
          </w:tcPr>
          <w:p>
            <w:r/>
            <w:r>
              <w:rPr>
                <w:rFonts w:ascii="宋体" w:hAnsi="宋体" w:eastAsia="宋体"/>
                <w:sz w:val="18"/>
              </w:rPr>
              <w:t>Python 3.10+</w:t>
            </w:r>
          </w:p>
        </w:tc>
        <w:tc>
          <w:tcPr>
            <w:tcW w:type="dxa" w:w="4535"/>
          </w:tcPr>
          <w:p>
            <w:r/>
            <w:r>
              <w:rPr>
                <w:rFonts w:ascii="宋体" w:hAnsi="宋体" w:eastAsia="宋体"/>
                <w:sz w:val="18"/>
              </w:rPr>
              <w:t>生态丰富、LLM集成成熟、开发效率高</w:t>
            </w:r>
          </w:p>
        </w:tc>
      </w:tr>
      <w:tr>
        <w:tc>
          <w:tcPr>
            <w:tcW w:type="dxa" w:w="1417"/>
          </w:tcPr>
          <w:p>
            <w:r/>
            <w:r>
              <w:rPr>
                <w:rFonts w:ascii="宋体" w:hAnsi="宋体" w:eastAsia="宋体"/>
                <w:sz w:val="18"/>
              </w:rPr>
              <w:t>数据模型</w:t>
            </w:r>
          </w:p>
        </w:tc>
        <w:tc>
          <w:tcPr>
            <w:tcW w:type="dxa" w:w="1701"/>
          </w:tcPr>
          <w:p>
            <w:r/>
            <w:r>
              <w:rPr>
                <w:rFonts w:ascii="宋体" w:hAnsi="宋体" w:eastAsia="宋体"/>
                <w:sz w:val="18"/>
              </w:rPr>
              <w:t>Pydantic v2</w:t>
            </w:r>
          </w:p>
        </w:tc>
        <w:tc>
          <w:tcPr>
            <w:tcW w:type="dxa" w:w="4535"/>
          </w:tcPr>
          <w:p>
            <w:r/>
            <w:r>
              <w:rPr>
                <w:rFonts w:ascii="宋体" w:hAnsi="宋体" w:eastAsia="宋体"/>
                <w:sz w:val="18"/>
              </w:rPr>
              <w:t>严格类型校验、自动序列化、性能优秀</w:t>
            </w:r>
          </w:p>
        </w:tc>
      </w:tr>
      <w:tr>
        <w:tc>
          <w:tcPr>
            <w:tcW w:type="dxa" w:w="1417"/>
          </w:tcPr>
          <w:p>
            <w:r/>
            <w:r>
              <w:rPr>
                <w:rFonts w:ascii="宋体" w:hAnsi="宋体" w:eastAsia="宋体"/>
                <w:sz w:val="18"/>
              </w:rPr>
              <w:t>Web框架</w:t>
            </w:r>
          </w:p>
        </w:tc>
        <w:tc>
          <w:tcPr>
            <w:tcW w:type="dxa" w:w="1701"/>
          </w:tcPr>
          <w:p>
            <w:r/>
            <w:r>
              <w:rPr>
                <w:rFonts w:ascii="宋体" w:hAnsi="宋体" w:eastAsia="宋体"/>
                <w:sz w:val="18"/>
              </w:rPr>
              <w:t>FastAPI</w:t>
            </w:r>
          </w:p>
        </w:tc>
        <w:tc>
          <w:tcPr>
            <w:tcW w:type="dxa" w:w="4535"/>
          </w:tcPr>
          <w:p>
            <w:r/>
            <w:r>
              <w:rPr>
                <w:rFonts w:ascii="宋体" w:hAnsi="宋体" w:eastAsia="宋体"/>
                <w:sz w:val="18"/>
              </w:rPr>
              <w:t>异步高性能、自动文档、类型提示原生支持</w:t>
            </w:r>
          </w:p>
        </w:tc>
      </w:tr>
      <w:tr>
        <w:tc>
          <w:tcPr>
            <w:tcW w:type="dxa" w:w="1417"/>
          </w:tcPr>
          <w:p>
            <w:r/>
            <w:r>
              <w:rPr>
                <w:rFonts w:ascii="宋体" w:hAnsi="宋体" w:eastAsia="宋体"/>
                <w:sz w:val="18"/>
              </w:rPr>
              <w:t>CLI框架</w:t>
            </w:r>
          </w:p>
        </w:tc>
        <w:tc>
          <w:tcPr>
            <w:tcW w:type="dxa" w:w="1701"/>
          </w:tcPr>
          <w:p>
            <w:r/>
            <w:r>
              <w:rPr>
                <w:rFonts w:ascii="宋体" w:hAnsi="宋体" w:eastAsia="宋体"/>
                <w:sz w:val="18"/>
              </w:rPr>
              <w:t>Click + Rich</w:t>
            </w:r>
          </w:p>
        </w:tc>
        <w:tc>
          <w:tcPr>
            <w:tcW w:type="dxa" w:w="4535"/>
          </w:tcPr>
          <w:p>
            <w:r/>
            <w:r>
              <w:rPr>
                <w:rFonts w:ascii="宋体" w:hAnsi="宋体" w:eastAsia="宋体"/>
                <w:sz w:val="18"/>
              </w:rPr>
              <w:t>Click成熟稳定，Rich提供美观终端输出</w:t>
            </w:r>
          </w:p>
        </w:tc>
      </w:tr>
      <w:tr>
        <w:tc>
          <w:tcPr>
            <w:tcW w:type="dxa" w:w="1417"/>
          </w:tcPr>
          <w:p>
            <w:r/>
            <w:r>
              <w:rPr>
                <w:rFonts w:ascii="宋体" w:hAnsi="宋体" w:eastAsia="宋体"/>
                <w:sz w:val="18"/>
              </w:rPr>
              <w:t>LLM后端</w:t>
            </w:r>
          </w:p>
        </w:tc>
        <w:tc>
          <w:tcPr>
            <w:tcW w:type="dxa" w:w="1701"/>
          </w:tcPr>
          <w:p>
            <w:r/>
            <w:r>
              <w:rPr>
                <w:rFonts w:ascii="宋体" w:hAnsi="宋体" w:eastAsia="宋体"/>
                <w:sz w:val="18"/>
              </w:rPr>
              <w:t>Ollama + vLLM</w:t>
            </w:r>
          </w:p>
        </w:tc>
        <w:tc>
          <w:tcPr>
            <w:tcW w:type="dxa" w:w="4535"/>
          </w:tcPr>
          <w:p>
            <w:r/>
            <w:r>
              <w:rPr>
                <w:rFonts w:ascii="宋体" w:hAnsi="宋体" w:eastAsia="宋体"/>
                <w:sz w:val="18"/>
              </w:rPr>
              <w:t>Ollama适合开发，vLLM适合生产，均开源免费</w:t>
            </w:r>
          </w:p>
        </w:tc>
      </w:tr>
      <w:tr>
        <w:tc>
          <w:tcPr>
            <w:tcW w:type="dxa" w:w="1417"/>
          </w:tcPr>
          <w:p>
            <w:r/>
            <w:r>
              <w:rPr>
                <w:rFonts w:ascii="宋体" w:hAnsi="宋体" w:eastAsia="宋体"/>
                <w:sz w:val="18"/>
              </w:rPr>
              <w:t>知识图谱</w:t>
            </w:r>
          </w:p>
        </w:tc>
        <w:tc>
          <w:tcPr>
            <w:tcW w:type="dxa" w:w="1701"/>
          </w:tcPr>
          <w:p>
            <w:r/>
            <w:r>
              <w:rPr>
                <w:rFonts w:ascii="宋体" w:hAnsi="宋体" w:eastAsia="宋体"/>
                <w:sz w:val="18"/>
              </w:rPr>
              <w:t>Neo4j(可选)</w:t>
            </w:r>
          </w:p>
        </w:tc>
        <w:tc>
          <w:tcPr>
            <w:tcW w:type="dxa" w:w="4535"/>
          </w:tcPr>
          <w:p>
            <w:r/>
            <w:r>
              <w:rPr>
                <w:rFonts w:ascii="宋体" w:hAnsi="宋体" w:eastAsia="宋体"/>
                <w:sz w:val="18"/>
              </w:rPr>
              <w:t>图查询能力强，降级方案为JSON</w:t>
            </w:r>
          </w:p>
        </w:tc>
      </w:tr>
      <w:tr>
        <w:tc>
          <w:tcPr>
            <w:tcW w:type="dxa" w:w="1417"/>
          </w:tcPr>
          <w:p>
            <w:r/>
            <w:r>
              <w:rPr>
                <w:rFonts w:ascii="宋体" w:hAnsi="宋体" w:eastAsia="宋体"/>
                <w:sz w:val="18"/>
              </w:rPr>
              <w:t>配置管理</w:t>
            </w:r>
          </w:p>
        </w:tc>
        <w:tc>
          <w:tcPr>
            <w:tcW w:type="dxa" w:w="1701"/>
          </w:tcPr>
          <w:p>
            <w:r/>
            <w:r>
              <w:rPr>
                <w:rFonts w:ascii="宋体" w:hAnsi="宋体" w:eastAsia="宋体"/>
                <w:sz w:val="18"/>
              </w:rPr>
              <w:t>YAML</w:t>
            </w:r>
          </w:p>
        </w:tc>
        <w:tc>
          <w:tcPr>
            <w:tcW w:type="dxa" w:w="4535"/>
          </w:tcPr>
          <w:p>
            <w:r/>
            <w:r>
              <w:rPr>
                <w:rFonts w:ascii="宋体" w:hAnsi="宋体" w:eastAsia="宋体"/>
                <w:sz w:val="18"/>
              </w:rPr>
              <w:t>人类可读、支持注释、层次结构清晰</w:t>
            </w:r>
          </w:p>
        </w:tc>
      </w:tr>
      <w:tr>
        <w:tc>
          <w:tcPr>
            <w:tcW w:type="dxa" w:w="1417"/>
          </w:tcPr>
          <w:p>
            <w:r/>
            <w:r>
              <w:rPr>
                <w:rFonts w:ascii="宋体" w:hAnsi="宋体" w:eastAsia="宋体"/>
                <w:sz w:val="18"/>
              </w:rPr>
              <w:t>HTTP客户端</w:t>
            </w:r>
          </w:p>
        </w:tc>
        <w:tc>
          <w:tcPr>
            <w:tcW w:type="dxa" w:w="1701"/>
          </w:tcPr>
          <w:p>
            <w:r/>
            <w:r>
              <w:rPr>
                <w:rFonts w:ascii="宋体" w:hAnsi="宋体" w:eastAsia="宋体"/>
                <w:sz w:val="18"/>
              </w:rPr>
              <w:t>httpx</w:t>
            </w:r>
          </w:p>
        </w:tc>
        <w:tc>
          <w:tcPr>
            <w:tcW w:type="dxa" w:w="4535"/>
          </w:tcPr>
          <w:p>
            <w:r/>
            <w:r>
              <w:rPr>
                <w:rFonts w:ascii="宋体" w:hAnsi="宋体" w:eastAsia="宋体"/>
                <w:sz w:val="18"/>
              </w:rPr>
              <w:t>同步异步统一、超时控制完善</w:t>
            </w:r>
          </w:p>
        </w:tc>
      </w:tr>
    </w:tbl>
    <w:p>
      <w:pPr>
        <w:pStyle w:val="Heading2"/>
      </w:pPr>
      <w:r>
        <w:rPr>
          <w:rFonts w:ascii="微软雅黑" w:hAnsi="微软雅黑" w:eastAsia="微软雅黑"/>
          <w:color w:val="374151"/>
          <w:sz w:val="32"/>
        </w:rPr>
        <w:t>7.2 关键架构决策</w:t>
      </w:r>
    </w:p>
    <w:p>
      <w:pPr>
        <w:pStyle w:val="Heading3"/>
      </w:pPr>
      <w:r>
        <w:rPr>
          <w:rFonts w:ascii="微软雅黑" w:hAnsi="微软雅黑" w:eastAsia="微软雅黑"/>
          <w:color w:val="4B5563"/>
          <w:sz w:val="26"/>
        </w:rPr>
        <w:t>7.2.1 为何选择无梯度强化学习</w:t>
      </w:r>
    </w:p>
    <w:p>
      <w:pPr>
        <w:spacing w:line="360" w:lineRule="auto" w:after="120"/>
        <w:ind w:firstLine="420"/>
      </w:pPr>
      <w:r>
        <w:rPr>
          <w:rFonts w:ascii="宋体" w:hAnsi="宋体" w:eastAsia="宋体"/>
          <w:b w:val="0"/>
          <w:sz w:val="22"/>
        </w:rPr>
        <w:t>传统 RLHF 需要通过 PPO 等算法在训练阶段更新策略网络参数，存在三个问题：一是需要大量标注数据（偏好对）；二是梯度更新计算成本高昂，通常需要多卡GPU训练数天；三是更新后的模型难以回滚和调试。JitRL 的无梯度方案将策略优化推迟到推理阶段，通过记忆库和闭式更新实现即时优化，完全避免了上述问题。</w:t>
      </w:r>
    </w:p>
    <w:p>
      <w:pPr>
        <w:pStyle w:val="Heading3"/>
      </w:pPr>
      <w:r>
        <w:rPr>
          <w:rFonts w:ascii="微软雅黑" w:hAnsi="微软雅黑" w:eastAsia="微软雅黑"/>
          <w:color w:val="4B5563"/>
          <w:sz w:val="26"/>
        </w:rPr>
        <w:t>7.2.2 为何采用六级约束优先级</w:t>
      </w:r>
    </w:p>
    <w:p>
      <w:pPr>
        <w:spacing w:line="360" w:lineRule="auto" w:after="120"/>
        <w:ind w:firstLine="420"/>
      </w:pPr>
      <w:r>
        <w:rPr>
          <w:rFonts w:ascii="宋体" w:hAnsi="宋体" w:eastAsia="宋体"/>
          <w:b w:val="0"/>
          <w:sz w:val="22"/>
        </w:rPr>
        <w:t>运动处方涉及多种约束，其严格程度差异巨大。伤病禁忌是硬约束（违规可能导致损伤），而时长增幅是软约束（违规仅影响训练效果）。采用明确的六级优先级体系，可以确保硬约束优先执行、软约束柔性提醒，避免约束之间的冲突和混乱。</w:t>
      </w:r>
    </w:p>
    <w:p>
      <w:pPr>
        <w:pStyle w:val="Heading3"/>
      </w:pPr>
      <w:r>
        <w:rPr>
          <w:rFonts w:ascii="微软雅黑" w:hAnsi="微软雅黑" w:eastAsia="微软雅黑"/>
          <w:color w:val="4B5563"/>
          <w:sz w:val="26"/>
        </w:rPr>
        <w:t>7.2.3 为何支持多LLM后端</w:t>
      </w:r>
    </w:p>
    <w:p>
      <w:pPr>
        <w:spacing w:line="360" w:lineRule="auto" w:after="120"/>
        <w:ind w:firstLine="420"/>
      </w:pPr>
      <w:r>
        <w:rPr>
          <w:rFonts w:ascii="宋体" w:hAnsi="宋体" w:eastAsia="宋体"/>
          <w:b w:val="0"/>
          <w:sz w:val="22"/>
        </w:rPr>
        <w:t>不同部署场景对LLM的需求不同：开发阶段需要快速迭代（Ollama本地部署），生产阶段需要高并发（vLLM服务化），测试阶段需要确定性（Mock后端）。通过统一的LLMBackend抽象层和工厂模式，系统可以在配置文件中切换后端，无需修改业务代码。</w:t>
      </w:r>
    </w:p>
    <w:p>
      <w:pPr>
        <w:pStyle w:val="Heading3"/>
      </w:pPr>
      <w:r>
        <w:rPr>
          <w:rFonts w:ascii="微软雅黑" w:hAnsi="微软雅黑" w:eastAsia="微软雅黑"/>
          <w:color w:val="4B5563"/>
          <w:sz w:val="26"/>
        </w:rPr>
        <w:t>7.2.4 为何提供双调用接口</w:t>
      </w:r>
    </w:p>
    <w:p>
      <w:pPr>
        <w:spacing w:line="360" w:lineRule="auto" w:after="120"/>
        <w:ind w:firstLine="420"/>
      </w:pPr>
      <w:r>
        <w:rPr>
          <w:rFonts w:ascii="宋体" w:hAnsi="宋体" w:eastAsia="宋体"/>
          <w:b w:val="0"/>
          <w:sz w:val="22"/>
        </w:rPr>
        <w:t>CLI接口适合脚本化批处理（如批量生成全校学生的训练处方），FastAPI接口适合系统集成（如嵌入到体育管理系统中）。两种接口共享同一套业务逻辑，确保行为一致性。</w:t>
      </w:r>
    </w:p>
    <w:p>
      <w:r>
        <w:br w:type="page"/>
      </w:r>
    </w:p>
    <w:p>
      <w:pPr>
        <w:pStyle w:val="Heading1"/>
      </w:pPr>
      <w:r>
        <w:rPr>
          <w:rFonts w:ascii="微软雅黑" w:hAnsi="微软雅黑" w:eastAsia="微软雅黑"/>
          <w:color w:val="2563EB"/>
          <w:sz w:val="40"/>
        </w:rPr>
        <w:t>8. 部署方案与运行环境</w:t>
      </w:r>
    </w:p>
    <w:p>
      <w:pPr>
        <w:pStyle w:val="Heading2"/>
      </w:pPr>
      <w:r>
        <w:rPr>
          <w:rFonts w:ascii="微软雅黑" w:hAnsi="微软雅黑" w:eastAsia="微软雅黑"/>
          <w:color w:val="374151"/>
          <w:sz w:val="32"/>
        </w:rPr>
        <w:t>8.1 环境要求</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701"/>
            <w:shd w:fill="2563EB"/>
          </w:tcPr>
          <w:p>
            <w:pPr>
              <w:jc w:val="center"/>
            </w:pPr>
            <w:r/>
            <w:r>
              <w:rPr>
                <w:rFonts w:ascii="微软雅黑" w:hAnsi="微软雅黑" w:eastAsia="微软雅黑"/>
                <w:b/>
                <w:color w:val="FFFFFF"/>
                <w:sz w:val="20"/>
              </w:rPr>
              <w:t>组件</w:t>
            </w:r>
          </w:p>
        </w:tc>
        <w:tc>
          <w:tcPr>
            <w:tcW w:type="dxa" w:w="1701"/>
            <w:shd w:fill="2563EB"/>
          </w:tcPr>
          <w:p>
            <w:pPr>
              <w:jc w:val="center"/>
            </w:pPr>
            <w:r/>
            <w:r>
              <w:rPr>
                <w:rFonts w:ascii="微软雅黑" w:hAnsi="微软雅黑" w:eastAsia="微软雅黑"/>
                <w:b/>
                <w:color w:val="FFFFFF"/>
                <w:sz w:val="20"/>
              </w:rPr>
              <w:t>最低配置</w:t>
            </w:r>
          </w:p>
        </w:tc>
        <w:tc>
          <w:tcPr>
            <w:tcW w:type="dxa" w:w="1701"/>
            <w:shd w:fill="2563EB"/>
          </w:tcPr>
          <w:p>
            <w:pPr>
              <w:jc w:val="center"/>
            </w:pPr>
            <w:r/>
            <w:r>
              <w:rPr>
                <w:rFonts w:ascii="微软雅黑" w:hAnsi="微软雅黑" w:eastAsia="微软雅黑"/>
                <w:b/>
                <w:color w:val="FFFFFF"/>
                <w:sz w:val="20"/>
              </w:rPr>
              <w:t>推荐配置</w:t>
            </w:r>
          </w:p>
        </w:tc>
        <w:tc>
          <w:tcPr>
            <w:tcW w:type="dxa" w:w="2835"/>
            <w:shd w:fill="2563EB"/>
          </w:tcPr>
          <w:p>
            <w:pPr>
              <w:jc w:val="center"/>
            </w:pPr>
            <w:r/>
            <w:r>
              <w:rPr>
                <w:rFonts w:ascii="微软雅黑" w:hAnsi="微软雅黑" w:eastAsia="微软雅黑"/>
                <w:b/>
                <w:color w:val="FFFFFF"/>
                <w:sz w:val="20"/>
              </w:rPr>
              <w:t>说明</w:t>
            </w:r>
          </w:p>
        </w:tc>
      </w:tr>
      <w:tr>
        <w:tc>
          <w:tcPr>
            <w:tcW w:type="dxa" w:w="1701"/>
          </w:tcPr>
          <w:p>
            <w:r/>
            <w:r>
              <w:rPr>
                <w:rFonts w:ascii="宋体" w:hAnsi="宋体" w:eastAsia="宋体"/>
                <w:sz w:val="18"/>
              </w:rPr>
              <w:t>Python</w:t>
            </w:r>
          </w:p>
        </w:tc>
        <w:tc>
          <w:tcPr>
            <w:tcW w:type="dxa" w:w="1701"/>
          </w:tcPr>
          <w:p>
            <w:r/>
            <w:r>
              <w:rPr>
                <w:rFonts w:ascii="宋体" w:hAnsi="宋体" w:eastAsia="宋体"/>
                <w:sz w:val="18"/>
              </w:rPr>
              <w:t>3.10</w:t>
            </w:r>
          </w:p>
        </w:tc>
        <w:tc>
          <w:tcPr>
            <w:tcW w:type="dxa" w:w="1701"/>
          </w:tcPr>
          <w:p>
            <w:r/>
            <w:r>
              <w:rPr>
                <w:rFonts w:ascii="宋体" w:hAnsi="宋体" w:eastAsia="宋体"/>
                <w:sz w:val="18"/>
              </w:rPr>
              <w:t>3.11+</w:t>
            </w:r>
          </w:p>
        </w:tc>
        <w:tc>
          <w:tcPr>
            <w:tcW w:type="dxa" w:w="2835"/>
          </w:tcPr>
          <w:p>
            <w:r/>
            <w:r>
              <w:rPr>
                <w:rFonts w:ascii="宋体" w:hAnsi="宋体" w:eastAsia="宋体"/>
                <w:sz w:val="18"/>
              </w:rPr>
              <w:t>需要支持typing.Self等新特性</w:t>
            </w:r>
          </w:p>
        </w:tc>
      </w:tr>
      <w:tr>
        <w:tc>
          <w:tcPr>
            <w:tcW w:type="dxa" w:w="1701"/>
          </w:tcPr>
          <w:p>
            <w:r/>
            <w:r>
              <w:rPr>
                <w:rFonts w:ascii="宋体" w:hAnsi="宋体" w:eastAsia="宋体"/>
                <w:sz w:val="18"/>
              </w:rPr>
              <w:t>内存</w:t>
            </w:r>
          </w:p>
        </w:tc>
        <w:tc>
          <w:tcPr>
            <w:tcW w:type="dxa" w:w="1701"/>
          </w:tcPr>
          <w:p>
            <w:r/>
            <w:r>
              <w:rPr>
                <w:rFonts w:ascii="宋体" w:hAnsi="宋体" w:eastAsia="宋体"/>
                <w:sz w:val="18"/>
              </w:rPr>
              <w:t>4GB</w:t>
            </w:r>
          </w:p>
        </w:tc>
        <w:tc>
          <w:tcPr>
            <w:tcW w:type="dxa" w:w="1701"/>
          </w:tcPr>
          <w:p>
            <w:r/>
            <w:r>
              <w:rPr>
                <w:rFonts w:ascii="宋体" w:hAnsi="宋体" w:eastAsia="宋体"/>
                <w:sz w:val="18"/>
              </w:rPr>
              <w:t>8GB+</w:t>
            </w:r>
          </w:p>
        </w:tc>
        <w:tc>
          <w:tcPr>
            <w:tcW w:type="dxa" w:w="2835"/>
          </w:tcPr>
          <w:p>
            <w:r/>
            <w:r>
              <w:rPr>
                <w:rFonts w:ascii="宋体" w:hAnsi="宋体" w:eastAsia="宋体"/>
                <w:sz w:val="18"/>
              </w:rPr>
              <w:t>LLM推理需要较多内存</w:t>
            </w:r>
          </w:p>
        </w:tc>
      </w:tr>
      <w:tr>
        <w:tc>
          <w:tcPr>
            <w:tcW w:type="dxa" w:w="1701"/>
          </w:tcPr>
          <w:p>
            <w:r/>
            <w:r>
              <w:rPr>
                <w:rFonts w:ascii="宋体" w:hAnsi="宋体" w:eastAsia="宋体"/>
                <w:sz w:val="18"/>
              </w:rPr>
              <w:t>GPU(可选)</w:t>
            </w:r>
          </w:p>
        </w:tc>
        <w:tc>
          <w:tcPr>
            <w:tcW w:type="dxa" w:w="1701"/>
          </w:tcPr>
          <w:p>
            <w:r/>
            <w:r>
              <w:rPr>
                <w:rFonts w:ascii="宋体" w:hAnsi="宋体" w:eastAsia="宋体"/>
                <w:sz w:val="18"/>
              </w:rPr>
              <w:t>无</w:t>
            </w:r>
          </w:p>
        </w:tc>
        <w:tc>
          <w:tcPr>
            <w:tcW w:type="dxa" w:w="1701"/>
          </w:tcPr>
          <w:p>
            <w:r/>
            <w:r>
              <w:rPr>
                <w:rFonts w:ascii="宋体" w:hAnsi="宋体" w:eastAsia="宋体"/>
                <w:sz w:val="18"/>
              </w:rPr>
              <w:t>8GB+显存</w:t>
            </w:r>
          </w:p>
        </w:tc>
        <w:tc>
          <w:tcPr>
            <w:tcW w:type="dxa" w:w="2835"/>
          </w:tcPr>
          <w:p>
            <w:r/>
            <w:r>
              <w:rPr>
                <w:rFonts w:ascii="宋体" w:hAnsi="宋体" w:eastAsia="宋体"/>
                <w:sz w:val="18"/>
              </w:rPr>
              <w:t>Ollama/vLLM本地推理加速</w:t>
            </w:r>
          </w:p>
        </w:tc>
      </w:tr>
      <w:tr>
        <w:tc>
          <w:tcPr>
            <w:tcW w:type="dxa" w:w="1701"/>
          </w:tcPr>
          <w:p>
            <w:r/>
            <w:r>
              <w:rPr>
                <w:rFonts w:ascii="宋体" w:hAnsi="宋体" w:eastAsia="宋体"/>
                <w:sz w:val="18"/>
              </w:rPr>
              <w:t>磁盘</w:t>
            </w:r>
          </w:p>
        </w:tc>
        <w:tc>
          <w:tcPr>
            <w:tcW w:type="dxa" w:w="1701"/>
          </w:tcPr>
          <w:p>
            <w:r/>
            <w:r>
              <w:rPr>
                <w:rFonts w:ascii="宋体" w:hAnsi="宋体" w:eastAsia="宋体"/>
                <w:sz w:val="18"/>
              </w:rPr>
              <w:t>1GB</w:t>
            </w:r>
          </w:p>
        </w:tc>
        <w:tc>
          <w:tcPr>
            <w:tcW w:type="dxa" w:w="1701"/>
          </w:tcPr>
          <w:p>
            <w:r/>
            <w:r>
              <w:rPr>
                <w:rFonts w:ascii="宋体" w:hAnsi="宋体" w:eastAsia="宋体"/>
                <w:sz w:val="18"/>
              </w:rPr>
              <w:t>5GB+</w:t>
            </w:r>
          </w:p>
        </w:tc>
        <w:tc>
          <w:tcPr>
            <w:tcW w:type="dxa" w:w="2835"/>
          </w:tcPr>
          <w:p>
            <w:r/>
            <w:r>
              <w:rPr>
                <w:rFonts w:ascii="宋体" w:hAnsi="宋体" w:eastAsia="宋体"/>
                <w:sz w:val="18"/>
              </w:rPr>
              <w:t>代码+模型+记忆库</w:t>
            </w:r>
          </w:p>
        </w:tc>
      </w:tr>
      <w:tr>
        <w:tc>
          <w:tcPr>
            <w:tcW w:type="dxa" w:w="1701"/>
          </w:tcPr>
          <w:p>
            <w:r/>
            <w:r>
              <w:rPr>
                <w:rFonts w:ascii="宋体" w:hAnsi="宋体" w:eastAsia="宋体"/>
                <w:sz w:val="18"/>
              </w:rPr>
              <w:t>Neo4j(可选)</w:t>
            </w:r>
          </w:p>
        </w:tc>
        <w:tc>
          <w:tcPr>
            <w:tcW w:type="dxa" w:w="1701"/>
          </w:tcPr>
          <w:p>
            <w:r/>
            <w:r>
              <w:rPr>
                <w:rFonts w:ascii="宋体" w:hAnsi="宋体" w:eastAsia="宋体"/>
                <w:sz w:val="18"/>
              </w:rPr>
              <w:t>5.x</w:t>
            </w:r>
          </w:p>
        </w:tc>
        <w:tc>
          <w:tcPr>
            <w:tcW w:type="dxa" w:w="1701"/>
          </w:tcPr>
          <w:p>
            <w:r/>
            <w:r>
              <w:rPr>
                <w:rFonts w:ascii="宋体" w:hAnsi="宋体" w:eastAsia="宋体"/>
                <w:sz w:val="18"/>
              </w:rPr>
              <w:t>5.x</w:t>
            </w:r>
          </w:p>
        </w:tc>
        <w:tc>
          <w:tcPr>
            <w:tcW w:type="dxa" w:w="2835"/>
          </w:tcPr>
          <w:p>
            <w:r/>
            <w:r>
              <w:rPr>
                <w:rFonts w:ascii="宋体" w:hAnsi="宋体" w:eastAsia="宋体"/>
                <w:sz w:val="18"/>
              </w:rPr>
              <w:t>知识图谱存储，可选</w:t>
            </w:r>
          </w:p>
        </w:tc>
      </w:tr>
    </w:tbl>
    <w:p>
      <w:pPr>
        <w:pStyle w:val="Heading2"/>
      </w:pPr>
      <w:r>
        <w:rPr>
          <w:rFonts w:ascii="微软雅黑" w:hAnsi="微软雅黑" w:eastAsia="微软雅黑"/>
          <w:color w:val="374151"/>
          <w:sz w:val="32"/>
        </w:rPr>
        <w:t>8.2 快速启动</w:t>
      </w:r>
    </w:p>
    <w:p>
      <w:pPr>
        <w:spacing w:line="360" w:lineRule="auto" w:after="120"/>
        <w:ind w:firstLine="420"/>
      </w:pPr>
      <w:r>
        <w:rPr>
          <w:rFonts w:ascii="宋体" w:hAnsi="宋体" w:eastAsia="宋体"/>
          <w:b w:val="0"/>
          <w:sz w:val="22"/>
        </w:rPr>
        <w:t>系统提供三种启动方式：</w:t>
      </w:r>
    </w:p>
    <w:p>
      <w:pPr>
        <w:pStyle w:val="Heading3"/>
      </w:pPr>
      <w:r>
        <w:rPr>
          <w:rFonts w:ascii="微软雅黑" w:hAnsi="微软雅黑" w:eastAsia="微软雅黑"/>
          <w:color w:val="4B5563"/>
          <w:sz w:val="26"/>
        </w:rPr>
        <w:t>8.2.1 Mock模式（无需LLM）</w:t>
      </w:r>
    </w:p>
    <w:p>
      <w:pPr>
        <w:spacing w:line="240" w:lineRule="auto"/>
        <w:ind w:left="283"/>
        <w:shd w:fill="F3F4F6"/>
      </w:pPr>
      <w:r>
        <w:rPr>
          <w:rFonts w:ascii="Consolas" w:hAnsi="Consolas" w:eastAsia="Consolas"/>
          <w:color w:val="1F2937"/>
          <w:sz w:val="18"/>
        </w:rPr>
        <w:t># 修改 config/default.yaml</w:t>
        <w:br/>
        <w:t>llm:</w:t>
        <w:br/>
        <w:t xml:space="preserve">  backend: "mock"</w:t>
        <w:br/>
        <w:br/>
        <w:t># 运行CLI</w:t>
        <w:br/>
        <w:t>python -m cli.main generate --input data/sample_input.json --output output.json</w:t>
        <w:br/>
        <w:br/>
        <w:t># 启动API服务</w:t>
        <w:br/>
        <w:t>python -m api.server</w:t>
      </w:r>
    </w:p>
    <w:p>
      <w:pPr>
        <w:pStyle w:val="Heading3"/>
      </w:pPr>
      <w:r>
        <w:rPr>
          <w:rFonts w:ascii="微软雅黑" w:hAnsi="微软雅黑" w:eastAsia="微软雅黑"/>
          <w:color w:val="4B5563"/>
          <w:sz w:val="26"/>
        </w:rPr>
        <w:t>8.2.2 Ollama模式</w:t>
      </w:r>
    </w:p>
    <w:p>
      <w:pPr>
        <w:spacing w:line="240" w:lineRule="auto"/>
        <w:ind w:left="283"/>
        <w:shd w:fill="F3F4F6"/>
      </w:pPr>
      <w:r>
        <w:rPr>
          <w:rFonts w:ascii="Consolas" w:hAnsi="Consolas" w:eastAsia="Consolas"/>
          <w:color w:val="1F2937"/>
          <w:sz w:val="18"/>
        </w:rPr>
        <w:t># 安装并启动Ollama</w:t>
        <w:br/>
        <w:t>ollama pull qwen2.5:14b</w:t>
        <w:br/>
        <w:t>ollama serve</w:t>
        <w:br/>
        <w:br/>
        <w:t># 修改配置</w:t>
        <w:br/>
        <w:t>llm:</w:t>
        <w:br/>
        <w:t xml:space="preserve">  backend: "ollama"</w:t>
        <w:br/>
        <w:t xml:space="preserve">  model: "qwen2.5:14b"</w:t>
        <w:br/>
        <w:t xml:space="preserve">  ollama_base_url: "http://localhost:11434"</w:t>
        <w:br/>
        <w:br/>
        <w:t># 运行</w:t>
        <w:br/>
        <w:t>python -m cli.main generate --input data/sample_input.json</w:t>
      </w:r>
    </w:p>
    <w:p>
      <w:pPr>
        <w:pStyle w:val="Heading3"/>
      </w:pPr>
      <w:r>
        <w:rPr>
          <w:rFonts w:ascii="微软雅黑" w:hAnsi="微软雅黑" w:eastAsia="微软雅黑"/>
          <w:color w:val="4B5563"/>
          <w:sz w:val="26"/>
        </w:rPr>
        <w:t>8.2.3 vLLM模式</w:t>
      </w:r>
    </w:p>
    <w:p>
      <w:pPr>
        <w:spacing w:line="240" w:lineRule="auto"/>
        <w:ind w:left="283"/>
        <w:shd w:fill="F3F4F6"/>
      </w:pPr>
      <w:r>
        <w:rPr>
          <w:rFonts w:ascii="Consolas" w:hAnsi="Consolas" w:eastAsia="Consolas"/>
          <w:color w:val="1F2937"/>
          <w:sz w:val="18"/>
        </w:rPr>
        <w:t># 启动vLLM服务</w:t>
        <w:br/>
        <w:t>python -m vllm.entrypoints.openai.api_server \</w:t>
        <w:br/>
        <w:t xml:space="preserve">  --model Qwen/Qwen2.5-14B-Instruct \</w:t>
        <w:br/>
        <w:t xml:space="preserve">  --port 8000</w:t>
        <w:br/>
        <w:br/>
        <w:t># 修改配置</w:t>
        <w:br/>
        <w:t>llm:</w:t>
        <w:br/>
        <w:t xml:space="preserve">  backend: "vllm"</w:t>
        <w:br/>
        <w:t xml:space="preserve">  model: "Qwen/Qwen2.5-14B-Instruct"</w:t>
        <w:br/>
        <w:t xml:space="preserve">  vllm_base_url: "http://localhost:8000"</w:t>
        <w:br/>
        <w:br/>
        <w:t># 运行</w:t>
        <w:br/>
        <w:t>python -m cli.main generate --input data/sample_input.json</w:t>
      </w:r>
    </w:p>
    <w:p>
      <w:pPr>
        <w:pStyle w:val="Heading2"/>
      </w:pPr>
      <w:r>
        <w:rPr>
          <w:rFonts w:ascii="微软雅黑" w:hAnsi="微软雅黑" w:eastAsia="微软雅黑"/>
          <w:color w:val="374151"/>
          <w:sz w:val="32"/>
        </w:rPr>
        <w:t>8.3 API接口示例</w:t>
      </w:r>
    </w:p>
    <w:p>
      <w:pPr>
        <w:spacing w:line="240" w:lineRule="auto"/>
        <w:ind w:left="283"/>
        <w:shd w:fill="F3F4F6"/>
      </w:pPr>
      <w:r>
        <w:rPr>
          <w:rFonts w:ascii="Consolas" w:hAnsi="Consolas" w:eastAsia="Consolas"/>
          <w:color w:val="1F2937"/>
          <w:sz w:val="18"/>
        </w:rPr>
        <w:t># 生成处方</w:t>
        <w:br/>
        <w:t>curl -X POST http://localhost:8000/api/v1/prescription/generate \</w:t>
        <w:br/>
        <w:t xml:space="preserve">  -H "Content-Type: application/json" \</w:t>
        <w:br/>
        <w:t xml:space="preserve">  -d @data/sample_input.json</w:t>
        <w:br/>
        <w:br/>
        <w:t># 查看记忆库状态</w:t>
        <w:br/>
        <w:t>curl http://localhost:8000/api/v1/memory/stats</w:t>
        <w:br/>
        <w:br/>
        <w:t># 查看配置</w:t>
        <w:br/>
        <w:t>curl http://localhost:8000/api/v1/config</w:t>
      </w:r>
    </w:p>
    <w:p>
      <w:r>
        <w:br w:type="page"/>
      </w:r>
    </w:p>
    <w:p>
      <w:pPr>
        <w:pStyle w:val="Heading1"/>
      </w:pPr>
      <w:r>
        <w:rPr>
          <w:rFonts w:ascii="微软雅黑" w:hAnsi="微软雅黑" w:eastAsia="微软雅黑"/>
          <w:color w:val="2563EB"/>
          <w:sz w:val="40"/>
        </w:rPr>
        <w:t>9. 项目价值与预期收益</w:t>
      </w:r>
    </w:p>
    <w:p>
      <w:pPr>
        <w:pStyle w:val="Heading2"/>
      </w:pPr>
      <w:r>
        <w:rPr>
          <w:rFonts w:ascii="微软雅黑" w:hAnsi="微软雅黑" w:eastAsia="微软雅黑"/>
          <w:color w:val="374151"/>
          <w:sz w:val="32"/>
        </w:rPr>
        <w:t>9.1 技术价值</w:t>
      </w:r>
    </w:p>
    <w:p>
      <w:pPr>
        <w:spacing w:line="360" w:lineRule="auto" w:after="120"/>
        <w:ind w:firstLine="420"/>
      </w:pPr>
      <w:r>
        <w:rPr>
          <w:rFonts w:ascii="宋体" w:hAnsi="宋体" w:eastAsia="宋体"/>
          <w:b w:val="0"/>
          <w:sz w:val="22"/>
        </w:rPr>
        <w:t>本项目在技术层面具有以下价值：</w:t>
      </w:r>
    </w:p>
    <w:p>
      <w:pPr>
        <w:pStyle w:val="ListBullet"/>
        <w:spacing w:line="360" w:lineRule="auto"/>
      </w:pPr>
      <w:r>
        <w:rPr>
          <w:rFonts w:ascii="宋体" w:hAnsi="宋体" w:eastAsia="宋体"/>
          <w:sz w:val="22"/>
        </w:rPr>
        <w:t>论文复现价值：完整复现 ICML 2026 的 JitRL 论文，验证了无梯度强化学习在真实业务场景中的可行性，为学术界提供工程参考。</w:t>
      </w:r>
    </w:p>
    <w:p>
      <w:pPr>
        <w:pStyle w:val="ListBullet"/>
        <w:spacing w:line="360" w:lineRule="auto"/>
      </w:pPr>
      <w:r>
        <w:rPr>
          <w:rFonts w:ascii="宋体" w:hAnsi="宋体" w:eastAsia="宋体"/>
          <w:sz w:val="22"/>
        </w:rPr>
        <w:t>架构参考价值：五层架构设计、六级约束优先级体系、多LLM后端适配等模式，可复用于其他智能体项目。</w:t>
      </w:r>
    </w:p>
    <w:p>
      <w:pPr>
        <w:pStyle w:val="ListBullet"/>
        <w:spacing w:line="360" w:lineRule="auto"/>
      </w:pPr>
      <w:r>
        <w:rPr>
          <w:rFonts w:ascii="宋体" w:hAnsi="宋体" w:eastAsia="宋体"/>
          <w:sz w:val="22"/>
        </w:rPr>
        <w:t>持续学习范式：展示了如何通过非参数记忆库实现 LLM Agent 的持续学习，无需昂贵的微调成本。</w:t>
      </w:r>
    </w:p>
    <w:p>
      <w:pPr>
        <w:pStyle w:val="Heading2"/>
      </w:pPr>
      <w:r>
        <w:rPr>
          <w:rFonts w:ascii="微软雅黑" w:hAnsi="微软雅黑" w:eastAsia="微软雅黑"/>
          <w:color w:val="374151"/>
          <w:sz w:val="32"/>
        </w:rPr>
        <w:t>9.2 业务价值</w:t>
      </w:r>
    </w:p>
    <w:p>
      <w:pPr>
        <w:spacing w:line="360" w:lineRule="auto" w:after="120"/>
        <w:ind w:firstLine="420"/>
      </w:pPr>
      <w:r>
        <w:rPr>
          <w:rFonts w:ascii="宋体" w:hAnsi="宋体" w:eastAsia="宋体"/>
          <w:b w:val="0"/>
          <w:sz w:val="22"/>
        </w:rPr>
        <w:t>在业务层面，本系统可带来以下收益：</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1701"/>
            <w:shd w:fill="2563EB"/>
          </w:tcPr>
          <w:p>
            <w:pPr>
              <w:jc w:val="center"/>
            </w:pPr>
            <w:r/>
            <w:r>
              <w:rPr>
                <w:rFonts w:ascii="微软雅黑" w:hAnsi="微软雅黑" w:eastAsia="微软雅黑"/>
                <w:b/>
                <w:color w:val="FFFFFF"/>
                <w:sz w:val="20"/>
              </w:rPr>
              <w:t>价值维度</w:t>
            </w:r>
          </w:p>
        </w:tc>
        <w:tc>
          <w:tcPr>
            <w:tcW w:type="dxa" w:w="2268"/>
            <w:shd w:fill="2563EB"/>
          </w:tcPr>
          <w:p>
            <w:pPr>
              <w:jc w:val="center"/>
            </w:pPr>
            <w:r/>
            <w:r>
              <w:rPr>
                <w:rFonts w:ascii="微软雅黑" w:hAnsi="微软雅黑" w:eastAsia="微软雅黑"/>
                <w:b/>
                <w:color w:val="FFFFFF"/>
                <w:sz w:val="20"/>
              </w:rPr>
              <w:t>传统方案</w:t>
            </w:r>
          </w:p>
        </w:tc>
        <w:tc>
          <w:tcPr>
            <w:tcW w:type="dxa" w:w="2268"/>
            <w:shd w:fill="2563EB"/>
          </w:tcPr>
          <w:p>
            <w:pPr>
              <w:jc w:val="center"/>
            </w:pPr>
            <w:r/>
            <w:r>
              <w:rPr>
                <w:rFonts w:ascii="微软雅黑" w:hAnsi="微软雅黑" w:eastAsia="微软雅黑"/>
                <w:b/>
                <w:color w:val="FFFFFF"/>
                <w:sz w:val="20"/>
              </w:rPr>
              <w:t>本系统</w:t>
            </w:r>
          </w:p>
        </w:tc>
        <w:tc>
          <w:tcPr>
            <w:tcW w:type="dxa" w:w="1701"/>
            <w:shd w:fill="2563EB"/>
          </w:tcPr>
          <w:p>
            <w:pPr>
              <w:jc w:val="center"/>
            </w:pPr>
            <w:r/>
            <w:r>
              <w:rPr>
                <w:rFonts w:ascii="微软雅黑" w:hAnsi="微软雅黑" w:eastAsia="微软雅黑"/>
                <w:b/>
                <w:color w:val="FFFFFF"/>
                <w:sz w:val="20"/>
              </w:rPr>
              <w:t>提升</w:t>
            </w:r>
          </w:p>
        </w:tc>
      </w:tr>
      <w:tr>
        <w:tc>
          <w:tcPr>
            <w:tcW w:type="dxa" w:w="1701"/>
          </w:tcPr>
          <w:p>
            <w:r/>
            <w:r>
              <w:rPr>
                <w:rFonts w:ascii="宋体" w:hAnsi="宋体" w:eastAsia="宋体"/>
                <w:sz w:val="18"/>
              </w:rPr>
              <w:t>处方生成效率</w:t>
            </w:r>
          </w:p>
        </w:tc>
        <w:tc>
          <w:tcPr>
            <w:tcW w:type="dxa" w:w="2268"/>
          </w:tcPr>
          <w:p>
            <w:r/>
            <w:r>
              <w:rPr>
                <w:rFonts w:ascii="宋体" w:hAnsi="宋体" w:eastAsia="宋体"/>
                <w:sz w:val="18"/>
              </w:rPr>
              <w:t>教练手工30分钟/人</w:t>
            </w:r>
          </w:p>
        </w:tc>
        <w:tc>
          <w:tcPr>
            <w:tcW w:type="dxa" w:w="2268"/>
          </w:tcPr>
          <w:p>
            <w:r/>
            <w:r>
              <w:rPr>
                <w:rFonts w:ascii="宋体" w:hAnsi="宋体" w:eastAsia="宋体"/>
                <w:sz w:val="18"/>
              </w:rPr>
              <w:t>秒级自动生成</w:t>
            </w:r>
          </w:p>
        </w:tc>
        <w:tc>
          <w:tcPr>
            <w:tcW w:type="dxa" w:w="1701"/>
          </w:tcPr>
          <w:p>
            <w:r/>
            <w:r>
              <w:rPr>
                <w:rFonts w:ascii="宋体" w:hAnsi="宋体" w:eastAsia="宋体"/>
                <w:sz w:val="18"/>
              </w:rPr>
              <w:t>1800倍</w:t>
            </w:r>
          </w:p>
        </w:tc>
      </w:tr>
      <w:tr>
        <w:tc>
          <w:tcPr>
            <w:tcW w:type="dxa" w:w="1701"/>
          </w:tcPr>
          <w:p>
            <w:r/>
            <w:r>
              <w:rPr>
                <w:rFonts w:ascii="宋体" w:hAnsi="宋体" w:eastAsia="宋体"/>
                <w:sz w:val="18"/>
              </w:rPr>
              <w:t>个性化程度</w:t>
            </w:r>
          </w:p>
        </w:tc>
        <w:tc>
          <w:tcPr>
            <w:tcW w:type="dxa" w:w="2268"/>
          </w:tcPr>
          <w:p>
            <w:r/>
            <w:r>
              <w:rPr>
                <w:rFonts w:ascii="宋体" w:hAnsi="宋体" w:eastAsia="宋体"/>
                <w:sz w:val="18"/>
              </w:rPr>
              <w:t>基于经验，粗粒度</w:t>
            </w:r>
          </w:p>
        </w:tc>
        <w:tc>
          <w:tcPr>
            <w:tcW w:type="dxa" w:w="2268"/>
          </w:tcPr>
          <w:p>
            <w:r/>
            <w:r>
              <w:rPr>
                <w:rFonts w:ascii="宋体" w:hAnsi="宋体" w:eastAsia="宋体"/>
                <w:sz w:val="18"/>
              </w:rPr>
              <w:t>基于历史数据，细粒度</w:t>
            </w:r>
          </w:p>
        </w:tc>
        <w:tc>
          <w:tcPr>
            <w:tcW w:type="dxa" w:w="1701"/>
          </w:tcPr>
          <w:p>
            <w:r/>
            <w:r>
              <w:rPr>
                <w:rFonts w:ascii="宋体" w:hAnsi="宋体" w:eastAsia="宋体"/>
                <w:sz w:val="18"/>
              </w:rPr>
              <w:t>显著</w:t>
            </w:r>
          </w:p>
        </w:tc>
      </w:tr>
      <w:tr>
        <w:tc>
          <w:tcPr>
            <w:tcW w:type="dxa" w:w="1701"/>
          </w:tcPr>
          <w:p>
            <w:r/>
            <w:r>
              <w:rPr>
                <w:rFonts w:ascii="宋体" w:hAnsi="宋体" w:eastAsia="宋体"/>
                <w:sz w:val="18"/>
              </w:rPr>
              <w:t>伤病规避率</w:t>
            </w:r>
          </w:p>
        </w:tc>
        <w:tc>
          <w:tcPr>
            <w:tcW w:type="dxa" w:w="2268"/>
          </w:tcPr>
          <w:p>
            <w:r/>
            <w:r>
              <w:rPr>
                <w:rFonts w:ascii="宋体" w:hAnsi="宋体" w:eastAsia="宋体"/>
                <w:sz w:val="18"/>
              </w:rPr>
              <w:t>依赖教练记忆</w:t>
            </w:r>
          </w:p>
        </w:tc>
        <w:tc>
          <w:tcPr>
            <w:tcW w:type="dxa" w:w="2268"/>
          </w:tcPr>
          <w:p>
            <w:r/>
            <w:r>
              <w:rPr>
                <w:rFonts w:ascii="宋体" w:hAnsi="宋体" w:eastAsia="宋体"/>
                <w:sz w:val="18"/>
              </w:rPr>
              <w:t>知识图谱强约束</w:t>
            </w:r>
          </w:p>
        </w:tc>
        <w:tc>
          <w:tcPr>
            <w:tcW w:type="dxa" w:w="1701"/>
          </w:tcPr>
          <w:p>
            <w:r/>
            <w:r>
              <w:rPr>
                <w:rFonts w:ascii="宋体" w:hAnsi="宋体" w:eastAsia="宋体"/>
                <w:sz w:val="18"/>
              </w:rPr>
              <w:t>接近100%</w:t>
            </w:r>
          </w:p>
        </w:tc>
      </w:tr>
      <w:tr>
        <w:tc>
          <w:tcPr>
            <w:tcW w:type="dxa" w:w="1701"/>
          </w:tcPr>
          <w:p>
            <w:r/>
            <w:r>
              <w:rPr>
                <w:rFonts w:ascii="宋体" w:hAnsi="宋体" w:eastAsia="宋体"/>
                <w:sz w:val="18"/>
              </w:rPr>
              <w:t>持续优化</w:t>
            </w:r>
          </w:p>
        </w:tc>
        <w:tc>
          <w:tcPr>
            <w:tcW w:type="dxa" w:w="2268"/>
          </w:tcPr>
          <w:p>
            <w:r/>
            <w:r>
              <w:rPr>
                <w:rFonts w:ascii="宋体" w:hAnsi="宋体" w:eastAsia="宋体"/>
                <w:sz w:val="18"/>
              </w:rPr>
              <w:t>无法自动学习</w:t>
            </w:r>
          </w:p>
        </w:tc>
        <w:tc>
          <w:tcPr>
            <w:tcW w:type="dxa" w:w="2268"/>
          </w:tcPr>
          <w:p>
            <w:r/>
            <w:r>
              <w:rPr>
                <w:rFonts w:ascii="宋体" w:hAnsi="宋体" w:eastAsia="宋体"/>
                <w:sz w:val="18"/>
              </w:rPr>
              <w:t>记忆库持续积累</w:t>
            </w:r>
          </w:p>
        </w:tc>
        <w:tc>
          <w:tcPr>
            <w:tcW w:type="dxa" w:w="1701"/>
          </w:tcPr>
          <w:p>
            <w:r/>
            <w:r>
              <w:rPr>
                <w:rFonts w:ascii="宋体" w:hAnsi="宋体" w:eastAsia="宋体"/>
                <w:sz w:val="18"/>
              </w:rPr>
              <w:t>随使用增强</w:t>
            </w:r>
          </w:p>
        </w:tc>
      </w:tr>
      <w:tr>
        <w:tc>
          <w:tcPr>
            <w:tcW w:type="dxa" w:w="1701"/>
          </w:tcPr>
          <w:p>
            <w:r/>
            <w:r>
              <w:rPr>
                <w:rFonts w:ascii="宋体" w:hAnsi="宋体" w:eastAsia="宋体"/>
                <w:sz w:val="18"/>
              </w:rPr>
              <w:t>规模化能力</w:t>
            </w:r>
          </w:p>
        </w:tc>
        <w:tc>
          <w:tcPr>
            <w:tcW w:type="dxa" w:w="2268"/>
          </w:tcPr>
          <w:p>
            <w:r/>
            <w:r>
              <w:rPr>
                <w:rFonts w:ascii="宋体" w:hAnsi="宋体" w:eastAsia="宋体"/>
                <w:sz w:val="18"/>
              </w:rPr>
              <w:t>受教练人数限制</w:t>
            </w:r>
          </w:p>
        </w:tc>
        <w:tc>
          <w:tcPr>
            <w:tcW w:type="dxa" w:w="2268"/>
          </w:tcPr>
          <w:p>
            <w:r/>
            <w:r>
              <w:rPr>
                <w:rFonts w:ascii="宋体" w:hAnsi="宋体" w:eastAsia="宋体"/>
                <w:sz w:val="18"/>
              </w:rPr>
              <w:t>无限制并发</w:t>
            </w:r>
          </w:p>
        </w:tc>
        <w:tc>
          <w:tcPr>
            <w:tcW w:type="dxa" w:w="1701"/>
          </w:tcPr>
          <w:p>
            <w:r/>
            <w:r>
              <w:rPr>
                <w:rFonts w:ascii="宋体" w:hAnsi="宋体" w:eastAsia="宋体"/>
                <w:sz w:val="18"/>
              </w:rPr>
              <w:t>质变</w:t>
            </w:r>
          </w:p>
        </w:tc>
      </w:tr>
    </w:tbl>
    <w:p>
      <w:pPr>
        <w:pStyle w:val="Heading2"/>
      </w:pPr>
      <w:r>
        <w:rPr>
          <w:rFonts w:ascii="微软雅黑" w:hAnsi="微软雅黑" w:eastAsia="微软雅黑"/>
          <w:color w:val="374151"/>
          <w:sz w:val="32"/>
        </w:rPr>
        <w:t>9.3 应用前景</w:t>
      </w:r>
    </w:p>
    <w:p>
      <w:pPr>
        <w:spacing w:line="360" w:lineRule="auto" w:after="120"/>
        <w:ind w:firstLine="420"/>
      </w:pPr>
      <w:r>
        <w:rPr>
          <w:rFonts w:ascii="宋体" w:hAnsi="宋体" w:eastAsia="宋体"/>
          <w:b w:val="0"/>
          <w:sz w:val="22"/>
        </w:rPr>
        <w:t>本系统可应用于多个领域：</w:t>
      </w:r>
    </w:p>
    <w:p>
      <w:pPr>
        <w:pStyle w:val="ListBullet"/>
        <w:spacing w:line="360" w:lineRule="auto"/>
      </w:pPr>
      <w:r>
        <w:rPr>
          <w:rFonts w:ascii="宋体" w:hAnsi="宋体" w:eastAsia="宋体"/>
          <w:sz w:val="22"/>
        </w:rPr>
        <w:t>学校体育：为中学生体测制定个性化训练计划，提升体测成绩。</w:t>
      </w:r>
    </w:p>
    <w:p>
      <w:pPr>
        <w:pStyle w:val="ListBullet"/>
        <w:spacing w:line="360" w:lineRule="auto"/>
      </w:pPr>
      <w:r>
        <w:rPr>
          <w:rFonts w:ascii="宋体" w:hAnsi="宋体" w:eastAsia="宋体"/>
          <w:sz w:val="22"/>
        </w:rPr>
        <w:t>专业体育：为运动员生成周期化训练处方，提升竞技表现。</w:t>
      </w:r>
    </w:p>
    <w:p>
      <w:pPr>
        <w:pStyle w:val="ListBullet"/>
        <w:spacing w:line="360" w:lineRule="auto"/>
      </w:pPr>
      <w:r>
        <w:rPr>
          <w:rFonts w:ascii="宋体" w:hAnsi="宋体" w:eastAsia="宋体"/>
          <w:sz w:val="22"/>
        </w:rPr>
        <w:t>大众健身：为健身爱好者提供科学的、考虑伤病的训练指导。</w:t>
      </w:r>
    </w:p>
    <w:p>
      <w:pPr>
        <w:pStyle w:val="ListBullet"/>
        <w:spacing w:line="360" w:lineRule="auto"/>
      </w:pPr>
      <w:r>
        <w:rPr>
          <w:rFonts w:ascii="宋体" w:hAnsi="宋体" w:eastAsia="宋体"/>
          <w:sz w:val="22"/>
        </w:rPr>
        <w:t>康复医学：为运动损伤康复患者生成渐进式恢复训练方案。</w:t>
      </w:r>
    </w:p>
    <w:p>
      <w:pPr>
        <w:pStyle w:val="ListBullet"/>
        <w:spacing w:line="360" w:lineRule="auto"/>
      </w:pPr>
      <w:r>
        <w:rPr>
          <w:rFonts w:ascii="宋体" w:hAnsi="宋体" w:eastAsia="宋体"/>
          <w:sz w:val="22"/>
        </w:rPr>
        <w:t>军警训练：为特种作业人员制定体能达标训练计划。</w:t>
      </w:r>
    </w:p>
    <w:p>
      <w:pPr>
        <w:pStyle w:val="Heading2"/>
      </w:pPr>
      <w:r>
        <w:rPr>
          <w:rFonts w:ascii="微软雅黑" w:hAnsi="微软雅黑" w:eastAsia="微软雅黑"/>
          <w:color w:val="374151"/>
          <w:sz w:val="32"/>
        </w:rPr>
        <w:t>9.4 后续演进方向</w:t>
      </w:r>
    </w:p>
    <w:p>
      <w:pPr>
        <w:spacing w:line="360" w:lineRule="auto" w:after="120"/>
        <w:ind w:firstLine="420"/>
      </w:pPr>
      <w:r>
        <w:rPr>
          <w:rFonts w:ascii="宋体" w:hAnsi="宋体" w:eastAsia="宋体"/>
          <w:b w:val="0"/>
          <w:sz w:val="22"/>
        </w:rPr>
        <w:t>未来可在以下方向持续演进：</w:t>
      </w:r>
    </w:p>
    <w:p>
      <w:pPr>
        <w:pStyle w:val="ListBullet"/>
        <w:spacing w:line="360" w:lineRule="auto"/>
      </w:pPr>
      <w:r>
        <w:rPr>
          <w:rFonts w:ascii="宋体" w:hAnsi="宋体" w:eastAsia="宋体"/>
          <w:sz w:val="22"/>
        </w:rPr>
        <w:t>多模态输入：支持运动视频分析，自动识别动作质量和体能短板。</w:t>
      </w:r>
    </w:p>
    <w:p>
      <w:pPr>
        <w:pStyle w:val="ListBullet"/>
        <w:spacing w:line="360" w:lineRule="auto"/>
      </w:pPr>
      <w:r>
        <w:rPr>
          <w:rFonts w:ascii="宋体" w:hAnsi="宋体" w:eastAsia="宋体"/>
          <w:sz w:val="22"/>
        </w:rPr>
        <w:t>实时反馈：集成可穿戴设备，实时监测训练负荷和疲劳度，动态调整处方。</w:t>
      </w:r>
    </w:p>
    <w:p>
      <w:pPr>
        <w:pStyle w:val="ListBullet"/>
        <w:spacing w:line="360" w:lineRule="auto"/>
      </w:pPr>
      <w:r>
        <w:rPr>
          <w:rFonts w:ascii="宋体" w:hAnsi="宋体" w:eastAsia="宋体"/>
          <w:sz w:val="22"/>
        </w:rPr>
        <w:t>群体学习：在保护隐私前提下，实现多运动员经验的联邦学习。</w:t>
      </w:r>
    </w:p>
    <w:p>
      <w:pPr>
        <w:pStyle w:val="ListBullet"/>
        <w:spacing w:line="360" w:lineRule="auto"/>
      </w:pPr>
      <w:r>
        <w:rPr>
          <w:rFonts w:ascii="宋体" w:hAnsi="宋体" w:eastAsia="宋体"/>
          <w:sz w:val="22"/>
        </w:rPr>
        <w:t>知识图谱扩展：引入更丰富的运动科学知识，如动作生物力学分析。</w:t>
      </w:r>
    </w:p>
    <w:p>
      <w:pPr>
        <w:pStyle w:val="ListBullet"/>
        <w:spacing w:line="360" w:lineRule="auto"/>
      </w:pPr>
      <w:r>
        <w:rPr>
          <w:rFonts w:ascii="宋体" w:hAnsi="宋体" w:eastAsia="宋体"/>
          <w:sz w:val="22"/>
        </w:rPr>
        <w:t>多目标优化：支持教练自定义优化目标（如优先提升某项体测成绩）。</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